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Librarian Information Sheet</w:t>
      </w:r>
    </w:p>
    <w:p>
      <w:pPr>
        <w:pStyle w:val="Subtitle"/>
        <w:jc w:val="center"/>
      </w:pPr>
      <w:r>
        <w:t>Quick-reference information for recommending, shelving and discussing the book</w:t>
      </w:r>
    </w:p>
    <w:p>
      <w:pPr>
        <w:spacing w:after="100"/>
        <w:pBdr>
          <w:bottom w:val="single" w:sz="18" w:space="1" w:color="0090AE"/>
        </w:pBdr>
      </w:pPr>
    </w:p>
    <w:p>
      <w:pPr>
        <w:pStyle w:val="SmallNote"/>
        <w:jc w:val="center"/>
      </w:pPr>
      <w:r>
        <w:t>Jamie Cooper and the Touchscreen Portal | The Gateway Saga - Book One | J P Harper</w:t>
      </w:r>
    </w:p>
    <w:tbl>
      <w:tblPr>
        <w:tblW w:type="auto" w:w="0"/>
        <w:jc w:val="center"/>
        <w:tblLayout w:type="fixed"/>
        <w:tblLook w:firstColumn="1" w:firstRow="1" w:lastColumn="0" w:lastRow="0" w:noHBand="0" w:noVBand="1" w:val="04A0"/>
      </w:tblPr>
      <w:tblGrid>
        <w:gridCol w:w="5083"/>
        <w:gridCol w:w="5083"/>
      </w:tblGrid>
      <w:tr>
        <w:tc>
          <w:tcPr>
            <w:tcW w:type="dxa" w:w="5083"/>
            <w:tcMar>
              <w:top w:w="80" w:type="dxa"/>
              <w:start w:w="80" w:type="dxa"/>
              <w:bottom w:w="80" w:type="dxa"/>
              <w:end w:w="80" w:type="dxa"/>
            </w:tcMar>
          </w:tcPr>
          <w:p>
            <w:pPr>
              <w:jc w:val="center"/>
            </w:pPr>
            <w:r>
              <w:drawing>
                <wp:inline xmlns:a="http://schemas.openxmlformats.org/drawingml/2006/main" xmlns:pic="http://schemas.openxmlformats.org/drawingml/2006/picture">
                  <wp:extent cx="1874519" cy="2811778"/>
                  <wp:docPr id="1" name="Picture 1"/>
                  <wp:cNvGraphicFramePr>
                    <a:graphicFrameLocks noChangeAspect="1"/>
                  </wp:cNvGraphicFramePr>
                  <a:graphic>
                    <a:graphicData uri="http://schemas.openxmlformats.org/drawingml/2006/picture">
                      <pic:pic>
                        <pic:nvPicPr>
                          <pic:cNvPr id="0" name="book_cover.png"/>
                          <pic:cNvPicPr/>
                        </pic:nvPicPr>
                        <pic:blipFill>
                          <a:blip r:embed="rId10"/>
                          <a:stretch>
                            <a:fillRect/>
                          </a:stretch>
                        </pic:blipFill>
                        <pic:spPr>
                          <a:xfrm>
                            <a:off x="0" y="0"/>
                            <a:ext cx="1874519" cy="2811778"/>
                          </a:xfrm>
                          <a:prstGeom prst="rect"/>
                        </pic:spPr>
                      </pic:pic>
                    </a:graphicData>
                  </a:graphic>
                </wp:inline>
              </w:drawing>
            </w:r>
          </w:p>
        </w:tc>
        <w:tc>
          <w:tcPr>
            <w:tcW w:type="dxa" w:w="5083"/>
            <w:tcMar>
              <w:top w:w="100" w:type="dxa"/>
              <w:start w:w="120" w:type="dxa"/>
              <w:bottom w:w="100" w:type="dxa"/>
              <w:end w:w="120" w:type="dxa"/>
            </w:tcMar>
          </w:tcPr>
          <w:p>
            <w:r/>
            <w:r>
              <w:rPr>
                <w:b/>
                <w:color w:val="0090AE"/>
                <w:sz w:val="24"/>
              </w:rPr>
              <w:t>AT A GLANCE</w:t>
            </w:r>
          </w:p>
          <w:p>
            <w:pPr>
              <w:spacing w:after="60"/>
            </w:pPr>
            <w:r>
              <w:rPr>
                <w:b/>
                <w:color w:val="0E223C"/>
              </w:rPr>
              <w:t xml:space="preserve">Title: </w:t>
            </w:r>
            <w:r>
              <w:t>Jamie Cooper and the Touchscreen Portal</w:t>
            </w:r>
          </w:p>
          <w:p>
            <w:pPr>
              <w:spacing w:after="60"/>
            </w:pPr>
            <w:r>
              <w:rPr>
                <w:b/>
                <w:color w:val="0E223C"/>
              </w:rPr>
              <w:t xml:space="preserve">Author: </w:t>
            </w:r>
            <w:r>
              <w:t>J P Harper</w:t>
            </w:r>
          </w:p>
          <w:p>
            <w:pPr>
              <w:spacing w:after="60"/>
            </w:pPr>
            <w:r>
              <w:rPr>
                <w:b/>
                <w:color w:val="0E223C"/>
              </w:rPr>
              <w:t xml:space="preserve">Series: </w:t>
            </w:r>
            <w:r>
              <w:t>The Gateway Saga - Book One</w:t>
            </w:r>
          </w:p>
          <w:p>
            <w:pPr>
              <w:spacing w:after="60"/>
            </w:pPr>
            <w:r>
              <w:rPr>
                <w:b/>
                <w:color w:val="0E223C"/>
              </w:rPr>
              <w:t xml:space="preserve">Recommended readers: </w:t>
            </w:r>
            <w:r>
              <w:t>Ages 9-14</w:t>
            </w:r>
          </w:p>
          <w:p>
            <w:pPr>
              <w:spacing w:after="60"/>
            </w:pPr>
            <w:r>
              <w:rPr>
                <w:b/>
                <w:color w:val="0E223C"/>
              </w:rPr>
              <w:t xml:space="preserve">Genre: </w:t>
            </w:r>
            <w:r>
              <w:t>Middle-grade portal fantasy with a science-fiction twist and light game-like elements</w:t>
            </w:r>
          </w:p>
          <w:p>
            <w:pPr>
              <w:spacing w:after="60"/>
            </w:pPr>
            <w:r>
              <w:rPr>
                <w:b/>
                <w:color w:val="0E223C"/>
              </w:rPr>
              <w:t xml:space="preserve">Structure: </w:t>
            </w:r>
            <w:r>
              <w:t>20 chapters; approximately 350 pages, depending on edition</w:t>
            </w:r>
          </w:p>
          <w:p>
            <w:pPr>
              <w:spacing w:after="60"/>
            </w:pPr>
            <w:r>
              <w:rPr>
                <w:b/>
                <w:color w:val="0E223C"/>
              </w:rPr>
              <w:t xml:space="preserve">Publisher: </w:t>
            </w:r>
            <w:r>
              <w:t>Creative-Sparx Press</w:t>
            </w:r>
          </w:p>
          <w:p>
            <w:pPr>
              <w:spacing w:after="60"/>
            </w:pPr>
            <w:r>
              <w:rPr>
                <w:b/>
                <w:color w:val="0E223C"/>
              </w:rPr>
              <w:t xml:space="preserve">First published: </w:t>
            </w:r>
            <w:r>
              <w:t>Great Britain, 2026</w:t>
            </w:r>
          </w:p>
        </w:tc>
      </w:tr>
    </w:tbl>
    <w:p>
      <w:pPr>
        <w:pStyle w:val="Heading1"/>
      </w:pPr>
      <w:r>
        <w:t>Why it may work well in a library</w:t>
      </w:r>
    </w:p>
    <w:p>
      <w:pPr>
        <w:pStyle w:val="ListBullet"/>
        <w:spacing w:after="50"/>
      </w:pPr>
      <w:r>
        <w:t>A fast-moving hidden-world adventure built around portals, maps, magical abilities, quests and a central mystery.</w:t>
      </w:r>
    </w:p>
    <w:p>
      <w:pPr>
        <w:pStyle w:val="ListBullet"/>
        <w:spacing w:after="50"/>
      </w:pPr>
      <w:r>
        <w:t>Game-like discovery without heavy statistics or rule exposition, making it accessible to readers who like gaming but do not necessarily want full LitRPG.</w:t>
      </w:r>
    </w:p>
    <w:p>
      <w:pPr>
        <w:pStyle w:val="ListBullet"/>
        <w:spacing w:after="50"/>
      </w:pPr>
      <w:r>
        <w:t>Three ordinary classmates become a complementary team, creating strong discussion material around friendship, first impressions, courage and belonging.</w:t>
      </w:r>
    </w:p>
    <w:p>
      <w:pPr>
        <w:pStyle w:val="ListBullet"/>
        <w:spacing w:after="50"/>
      </w:pPr>
      <w:r>
        <w:t>The mystery of Jamie's missing brother provides a continuing emotional thread beneath the action.</w:t>
      </w:r>
    </w:p>
    <w:p>
      <w:pPr>
        <w:pStyle w:val="ListBullet"/>
        <w:spacing w:after="50"/>
      </w:pPr>
      <w:r>
        <w:t>Book One opens a wider series while still offering a substantial adventure and clear character development.</w:t>
      </w:r>
    </w:p>
    <w:p>
      <w:pPr>
        <w:pStyle w:val="Heading1"/>
      </w:pPr>
      <w:r>
        <w:t>Reader fit</w:t>
      </w:r>
    </w:p>
    <w:tbl>
      <w:tblPr>
        <w:tblStyle w:val="TableGrid"/>
        <w:tblW w:type="auto" w:w="0"/>
        <w:jc w:val="center"/>
        <w:tblLook w:firstColumn="1" w:firstRow="1" w:lastColumn="0" w:lastRow="0" w:noHBand="0" w:noVBand="1" w:val="04A0"/>
      </w:tblPr>
      <w:tblGrid>
        <w:gridCol w:w="5083"/>
        <w:gridCol w:w="5083"/>
      </w:tblGrid>
      <w:tr>
        <w:tc>
          <w:tcPr>
            <w:tcW w:type="dxa" w:w="5083"/>
            <w:shd w:fill="0E223C"/>
          </w:tcPr>
          <w:p>
            <w:r>
              <w:rPr>
                <w:b/>
                <w:color w:val="FFFFFF"/>
              </w:rPr>
              <w:t>May especially appeal to readers who enjoy...</w:t>
            </w:r>
          </w:p>
        </w:tc>
        <w:tc>
          <w:tcPr>
            <w:tcW w:type="dxa" w:w="5083"/>
            <w:shd w:fill="0E223C"/>
          </w:tcPr>
          <w:p>
            <w:r>
              <w:rPr>
                <w:b/>
                <w:color w:val="FFFFFF"/>
              </w:rPr>
              <w:t>Adult recommendation notes</w:t>
            </w:r>
          </w:p>
        </w:tc>
      </w:tr>
      <w:tr>
        <w:tc>
          <w:tcPr>
            <w:tcW w:type="dxa" w:w="5083"/>
            <w:tcMar>
              <w:top w:w="80" w:type="dxa"/>
              <w:start w:w="120" w:type="dxa"/>
              <w:bottom w:w="80" w:type="dxa"/>
              <w:end w:w="120" w:type="dxa"/>
            </w:tcMar>
          </w:tcPr>
          <w:p>
            <w:r>
              <w:t>Portals, hidden worlds and maps</w:t>
            </w:r>
          </w:p>
        </w:tc>
        <w:tc>
          <w:tcPr>
            <w:tcW w:type="dxa" w:w="5083"/>
            <w:tcMar>
              <w:top w:w="80" w:type="dxa"/>
              <w:start w:w="120" w:type="dxa"/>
              <w:bottom w:w="80" w:type="dxa"/>
              <w:end w:w="120" w:type="dxa"/>
            </w:tcMar>
          </w:tcPr>
          <w:p>
            <w:r>
              <w:t>The story begins in an ordinary school/home setting before expanding into Myridiam.</w:t>
            </w:r>
          </w:p>
        </w:tc>
      </w:tr>
      <w:tr>
        <w:tc>
          <w:tcPr>
            <w:tcW w:type="dxa" w:w="5083"/>
            <w:tcMar>
              <w:top w:w="80" w:type="dxa"/>
              <w:start w:w="120" w:type="dxa"/>
              <w:bottom w:w="80" w:type="dxa"/>
              <w:end w:w="120" w:type="dxa"/>
            </w:tcMar>
          </w:tcPr>
          <w:p>
            <w:r>
              <w:t>Fantasy quests and magical powers</w:t>
            </w:r>
          </w:p>
        </w:tc>
        <w:tc>
          <w:tcPr>
            <w:tcW w:type="dxa" w:w="5083"/>
            <w:tcMar>
              <w:top w:w="80" w:type="dxa"/>
              <w:start w:w="120" w:type="dxa"/>
              <w:bottom w:w="80" w:type="dxa"/>
              <w:end w:w="120" w:type="dxa"/>
            </w:tcMar>
          </w:tcPr>
          <w:p>
            <w:r>
              <w:t>The trio gain distinct roles and artefacts, but teamwork and judgement remain important.</w:t>
            </w:r>
          </w:p>
        </w:tc>
      </w:tr>
      <w:tr>
        <w:tc>
          <w:tcPr>
            <w:tcW w:type="dxa" w:w="5083"/>
            <w:tcMar>
              <w:top w:w="80" w:type="dxa"/>
              <w:start w:w="120" w:type="dxa"/>
              <w:bottom w:w="80" w:type="dxa"/>
              <w:end w:w="120" w:type="dxa"/>
            </w:tcMar>
          </w:tcPr>
          <w:p>
            <w:r>
              <w:t>Video games and game-like discovery</w:t>
            </w:r>
          </w:p>
        </w:tc>
        <w:tc>
          <w:tcPr>
            <w:tcW w:type="dxa" w:w="5083"/>
            <w:tcMar>
              <w:top w:w="80" w:type="dxa"/>
              <w:start w:w="120" w:type="dxa"/>
              <w:bottom w:w="80" w:type="dxa"/>
              <w:end w:w="120" w:type="dxa"/>
            </w:tcMar>
          </w:tcPr>
          <w:p>
            <w:r>
              <w:t>Gaming influences Jamie's expectations, but the story questions whether Myridiam is a game at all.</w:t>
            </w:r>
          </w:p>
        </w:tc>
      </w:tr>
      <w:tr>
        <w:tc>
          <w:tcPr>
            <w:tcW w:type="dxa" w:w="5083"/>
            <w:tcMar>
              <w:top w:w="80" w:type="dxa"/>
              <w:start w:w="120" w:type="dxa"/>
              <w:bottom w:w="80" w:type="dxa"/>
              <w:end w:w="120" w:type="dxa"/>
            </w:tcMar>
          </w:tcPr>
          <w:p>
            <w:r>
              <w:t>Mystery and cliff-hanger questions</w:t>
            </w:r>
          </w:p>
        </w:tc>
        <w:tc>
          <w:tcPr>
            <w:tcW w:type="dxa" w:w="5083"/>
            <w:tcMar>
              <w:top w:w="80" w:type="dxa"/>
              <w:start w:w="120" w:type="dxa"/>
              <w:bottom w:w="80" w:type="dxa"/>
              <w:end w:w="120" w:type="dxa"/>
            </w:tcMar>
          </w:tcPr>
          <w:p>
            <w:r>
              <w:t>Cameron, 2126, the Gateway and the northern threat provide continuing mysteries.</w:t>
            </w:r>
          </w:p>
        </w:tc>
      </w:tr>
      <w:tr>
        <w:tc>
          <w:tcPr>
            <w:tcW w:type="dxa" w:w="5083"/>
            <w:tcMar>
              <w:top w:w="80" w:type="dxa"/>
              <w:start w:w="120" w:type="dxa"/>
              <w:bottom w:w="80" w:type="dxa"/>
              <w:end w:w="120" w:type="dxa"/>
            </w:tcMar>
          </w:tcPr>
          <w:p>
            <w:r>
              <w:t>Friendship and unlikely heroes</w:t>
            </w:r>
          </w:p>
        </w:tc>
        <w:tc>
          <w:tcPr>
            <w:tcW w:type="dxa" w:w="5083"/>
            <w:tcMar>
              <w:top w:w="80" w:type="dxa"/>
              <w:start w:w="120" w:type="dxa"/>
              <w:bottom w:w="80" w:type="dxa"/>
              <w:end w:w="120" w:type="dxa"/>
            </w:tcMar>
          </w:tcPr>
          <w:p>
            <w:r>
              <w:t>Jamie, Dan and Lakshmi each feel underestimated in different ways.</w:t>
            </w:r>
          </w:p>
        </w:tc>
      </w:tr>
    </w:tbl>
    <w:p>
      <w:pPr>
        <w:pStyle w:val="Heading1"/>
      </w:pPr>
      <w:r>
        <w:t>Content and sensitivity overview</w:t>
      </w:r>
    </w:p>
    <w:p>
      <w:r>
        <w:t>Contains grief connected to a missing older brother, strained family communication, school bullying, an intimidating parent affected by alcohol, fantasy battles, injuries, burning buildings, abduction and threats of war. Violence is adventurous rather than graphic, but some readers may benefit from advance notice.</w:t>
      </w:r>
    </w:p>
    <w:p>
      <w:pPr>
        <w:pStyle w:val="Heading1"/>
      </w:pPr>
      <w:r>
        <w:t>Library / catalogue identifiers</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E223C"/>
          </w:tcPr>
          <w:p>
            <w:r>
              <w:rPr>
                <w:b/>
                <w:color w:val="FFFFFF"/>
              </w:rPr>
              <w:t>Format / identifier</w:t>
            </w:r>
          </w:p>
        </w:tc>
        <w:tc>
          <w:tcPr>
            <w:tcW w:type="dxa" w:w="3389"/>
            <w:shd w:fill="0E223C"/>
          </w:tcPr>
          <w:p>
            <w:r>
              <w:rPr>
                <w:b/>
                <w:color w:val="FFFFFF"/>
              </w:rPr>
              <w:t>Code</w:t>
            </w:r>
          </w:p>
        </w:tc>
        <w:tc>
          <w:tcPr>
            <w:tcW w:type="dxa" w:w="3389"/>
            <w:shd w:fill="0E223C"/>
          </w:tcPr>
          <w:p>
            <w:r>
              <w:rPr>
                <w:b/>
                <w:color w:val="FFFFFF"/>
              </w:rPr>
              <w:t>Notes</w:t>
            </w:r>
          </w:p>
        </w:tc>
      </w:tr>
      <w:tr>
        <w:tc>
          <w:tcPr>
            <w:tcW w:type="dxa" w:w="3389"/>
            <w:tcMar>
              <w:top w:w="70" w:type="dxa"/>
              <w:start w:w="120" w:type="dxa"/>
              <w:bottom w:w="70" w:type="dxa"/>
              <w:end w:w="120" w:type="dxa"/>
            </w:tcMar>
          </w:tcPr>
          <w:p>
            <w:r>
              <w:t>Ebook ASIN</w:t>
            </w:r>
          </w:p>
        </w:tc>
        <w:tc>
          <w:tcPr>
            <w:tcW w:type="dxa" w:w="3389"/>
            <w:tcMar>
              <w:top w:w="70" w:type="dxa"/>
              <w:start w:w="120" w:type="dxa"/>
              <w:bottom w:w="70" w:type="dxa"/>
              <w:end w:w="120" w:type="dxa"/>
            </w:tcMar>
          </w:tcPr>
          <w:p>
            <w:r>
              <w:t>B0H2KWNDTH</w:t>
            </w:r>
          </w:p>
        </w:tc>
        <w:tc>
          <w:tcPr>
            <w:tcW w:type="dxa" w:w="3389"/>
            <w:tcMar>
              <w:top w:w="70" w:type="dxa"/>
              <w:start w:w="120" w:type="dxa"/>
              <w:bottom w:w="70" w:type="dxa"/>
              <w:end w:w="120" w:type="dxa"/>
            </w:tcMar>
          </w:tcPr>
          <w:p>
            <w:r>
              <w:t>Amazon ebook identifier</w:t>
            </w:r>
          </w:p>
        </w:tc>
      </w:tr>
      <w:tr>
        <w:tc>
          <w:tcPr>
            <w:tcW w:type="dxa" w:w="3389"/>
            <w:tcMar>
              <w:top w:w="70" w:type="dxa"/>
              <w:start w:w="120" w:type="dxa"/>
              <w:bottom w:w="70" w:type="dxa"/>
              <w:end w:w="120" w:type="dxa"/>
            </w:tcMar>
          </w:tcPr>
          <w:p>
            <w:r>
              <w:t>Paperback ISBN-10</w:t>
            </w:r>
          </w:p>
        </w:tc>
        <w:tc>
          <w:tcPr>
            <w:tcW w:type="dxa" w:w="3389"/>
            <w:tcMar>
              <w:top w:w="70" w:type="dxa"/>
              <w:start w:w="120" w:type="dxa"/>
              <w:bottom w:w="70" w:type="dxa"/>
              <w:end w:w="120" w:type="dxa"/>
            </w:tcMar>
          </w:tcPr>
          <w:p>
            <w:r>
              <w:t>1067601406</w:t>
            </w:r>
          </w:p>
        </w:tc>
        <w:tc>
          <w:tcPr>
            <w:tcW w:type="dxa" w:w="3389"/>
            <w:tcMar>
              <w:top w:w="70" w:type="dxa"/>
              <w:start w:w="120" w:type="dxa"/>
              <w:bottom w:w="70" w:type="dxa"/>
              <w:end w:w="120" w:type="dxa"/>
            </w:tcMar>
          </w:tcPr>
          <w:p>
            <w:r>
              <w:t>Also used as the print Amazon identifier</w:t>
            </w:r>
          </w:p>
        </w:tc>
      </w:tr>
      <w:tr>
        <w:tc>
          <w:tcPr>
            <w:tcW w:type="dxa" w:w="3389"/>
            <w:tcMar>
              <w:top w:w="70" w:type="dxa"/>
              <w:start w:w="120" w:type="dxa"/>
              <w:bottom w:w="70" w:type="dxa"/>
              <w:end w:w="120" w:type="dxa"/>
            </w:tcMar>
          </w:tcPr>
          <w:p>
            <w:r>
              <w:t>Paperback ISBN-13</w:t>
            </w:r>
          </w:p>
        </w:tc>
        <w:tc>
          <w:tcPr>
            <w:tcW w:type="dxa" w:w="3389"/>
            <w:tcMar>
              <w:top w:w="70" w:type="dxa"/>
              <w:start w:w="120" w:type="dxa"/>
              <w:bottom w:w="70" w:type="dxa"/>
              <w:end w:w="120" w:type="dxa"/>
            </w:tcMar>
          </w:tcPr>
          <w:p>
            <w:r>
              <w:t>9781067601409</w:t>
            </w:r>
          </w:p>
        </w:tc>
        <w:tc>
          <w:tcPr>
            <w:tcW w:type="dxa" w:w="3389"/>
            <w:tcMar>
              <w:top w:w="70" w:type="dxa"/>
              <w:start w:w="120" w:type="dxa"/>
              <w:bottom w:w="70" w:type="dxa"/>
              <w:end w:w="120" w:type="dxa"/>
            </w:tcMar>
          </w:tcPr>
          <w:p>
            <w:r>
              <w:t>13-digit conversion of the ISBN-10</w:t>
            </w:r>
          </w:p>
        </w:tc>
      </w:tr>
      <w:tr>
        <w:tc>
          <w:tcPr>
            <w:tcW w:type="dxa" w:w="3389"/>
            <w:tcMar>
              <w:top w:w="70" w:type="dxa"/>
              <w:start w:w="120" w:type="dxa"/>
              <w:bottom w:w="70" w:type="dxa"/>
              <w:end w:w="120" w:type="dxa"/>
            </w:tcMar>
          </w:tcPr>
          <w:p>
            <w:r>
              <w:t>Hardback ISBN-10</w:t>
            </w:r>
          </w:p>
        </w:tc>
        <w:tc>
          <w:tcPr>
            <w:tcW w:type="dxa" w:w="3389"/>
            <w:tcMar>
              <w:top w:w="70" w:type="dxa"/>
              <w:start w:w="120" w:type="dxa"/>
              <w:bottom w:w="70" w:type="dxa"/>
              <w:end w:w="120" w:type="dxa"/>
            </w:tcMar>
          </w:tcPr>
          <w:p>
            <w:r>
              <w:t>1067601414</w:t>
            </w:r>
          </w:p>
        </w:tc>
        <w:tc>
          <w:tcPr>
            <w:tcW w:type="dxa" w:w="3389"/>
            <w:tcMar>
              <w:top w:w="70" w:type="dxa"/>
              <w:start w:w="120" w:type="dxa"/>
              <w:bottom w:w="70" w:type="dxa"/>
              <w:end w:w="120" w:type="dxa"/>
            </w:tcMar>
          </w:tcPr>
          <w:p>
            <w:r>
              <w:t>Also used as the print Amazon identifier</w:t>
            </w:r>
          </w:p>
        </w:tc>
      </w:tr>
      <w:tr>
        <w:tc>
          <w:tcPr>
            <w:tcW w:type="dxa" w:w="3389"/>
            <w:tcMar>
              <w:top w:w="70" w:type="dxa"/>
              <w:start w:w="120" w:type="dxa"/>
              <w:bottom w:w="70" w:type="dxa"/>
              <w:end w:w="120" w:type="dxa"/>
            </w:tcMar>
          </w:tcPr>
          <w:p>
            <w:r>
              <w:t>Hardback ISBN-13</w:t>
            </w:r>
          </w:p>
        </w:tc>
        <w:tc>
          <w:tcPr>
            <w:tcW w:type="dxa" w:w="3389"/>
            <w:tcMar>
              <w:top w:w="70" w:type="dxa"/>
              <w:start w:w="120" w:type="dxa"/>
              <w:bottom w:w="70" w:type="dxa"/>
              <w:end w:w="120" w:type="dxa"/>
            </w:tcMar>
          </w:tcPr>
          <w:p>
            <w:r>
              <w:t>9781067601416</w:t>
            </w:r>
          </w:p>
        </w:tc>
        <w:tc>
          <w:tcPr>
            <w:tcW w:type="dxa" w:w="3389"/>
            <w:tcMar>
              <w:top w:w="70" w:type="dxa"/>
              <w:start w:w="120" w:type="dxa"/>
              <w:bottom w:w="70" w:type="dxa"/>
              <w:end w:w="120" w:type="dxa"/>
            </w:tcMar>
          </w:tcPr>
          <w:p>
            <w:r>
              <w:t>13-digit conversion of the ISBN-10</w:t>
            </w:r>
          </w:p>
        </w:tc>
      </w:tr>
    </w:tbl>
    <w:p>
      <w:pPr>
        <w:pStyle w:val="Heading1"/>
      </w:pPr>
      <w:r>
        <w:t>Quick hand-sell</w:t>
      </w:r>
    </w:p>
    <w:tbl>
      <w:tblPr>
        <w:tblW w:type="auto" w:w="0"/>
        <w:jc w:val="center"/>
        <w:tblLook w:firstColumn="1" w:firstRow="1" w:lastColumn="0" w:lastRow="0" w:noHBand="0" w:noVBand="1" w:val="04A0"/>
      </w:tblPr>
      <w:tblGrid>
        <w:gridCol w:w="10166"/>
      </w:tblGrid>
      <w:tr>
        <w:tc>
          <w:tcPr>
            <w:tcW w:type="dxa" w:w="10166"/>
            <w:shd w:fill="EAF5F7"/>
            <w:tcMar>
              <w:top w:w="120" w:type="dxa"/>
              <w:start w:w="150" w:type="dxa"/>
              <w:bottom w:w="120" w:type="dxa"/>
              <w:end w:w="150" w:type="dxa"/>
            </w:tcMar>
          </w:tcPr>
          <w:p>
            <w:pPr>
              <w:spacing w:after="60"/>
            </w:pPr>
            <w:r>
              <w:rPr>
                <w:b/>
                <w:color w:val="0E223C"/>
              </w:rPr>
              <w:t>30-second recommendation</w:t>
            </w:r>
          </w:p>
          <w:p>
            <w:pPr>
              <w:spacing w:after="0"/>
            </w:pPr>
            <w:r>
              <w:t>Try this if you like portals, quests, maps and game-like discovery. Jamie's tablet opens a Gateway into Myridiam, where he and two classmates gain unusual abilities and become caught in a conflict that may be connected to his missing brother.</w:t>
            </w:r>
          </w:p>
        </w:tc>
      </w:tr>
    </w:tbl>
    <w:p>
      <w:pPr>
        <w:spacing w:after="0"/>
      </w:pPr>
    </w:p>
    <w:p>
      <w:pPr>
        <w:pStyle w:val="Heading1"/>
      </w:pPr>
      <w:r>
        <w:t>Useful links for adults</w:t>
      </w:r>
    </w:p>
    <w:p>
      <w:pPr>
        <w:pStyle w:val="ListBullet"/>
        <w:spacing w:after="50"/>
      </w:pPr>
      <w:r>
        <w:t>Author and book information: www.jpharper.com</w:t>
      </w:r>
    </w:p>
    <w:p>
      <w:pPr>
        <w:pStyle w:val="ListBullet"/>
        <w:spacing w:after="50"/>
      </w:pPr>
      <w:r>
        <w:t>Free Gateway Preview Pack: portal.jpharper.com</w:t>
      </w:r>
    </w:p>
    <w:p>
      <w:pPr>
        <w:pStyle w:val="ListBullet"/>
        <w:spacing w:after="50"/>
      </w:pPr>
      <w:r>
        <w:t>Additional educator and librarian materials can be offered alongside this sheet as they become available.</w:t>
      </w:r>
    </w:p>
    <w:sectPr w:rsidR="00FC693F" w:rsidRPr="0006063C" w:rsidSect="00034616">
      <w:footerReference w:type="default" r:id="rId9"/>
      <w:pgSz w:w="12240" w:h="15840"/>
      <w:pgMar w:top="936" w:right="1037" w:bottom="864"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0E223C"/>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b/>
      <w:color w:val="0E223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5606E"/>
      <w:sz w:val="16"/>
    </w:rPr>
  </w:style>
  <w:style w:type="paragraph" w:customStyle="1" w:styleId="WorksheetPrompt">
    <w:name w:val="Worksheet Prompt"/>
    <w:pPr>
      <w:spacing w:after="60"/>
    </w:pPr>
    <w:rPr>
      <w:rFonts w:ascii="Aptos" w:hAnsi="Aptos"/>
      <w:b/>
      <w:color w:val="0E223C"/>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