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Would You Enter the Gateway?</w:t>
      </w:r>
    </w:p>
    <w:p>
      <w:pPr>
        <w:pStyle w:val="Subtitle"/>
        <w:jc w:val="center"/>
      </w:pPr>
      <w:r>
        <w:t>A structured debate about risk, responsibility and evidence</w:t>
      </w:r>
    </w:p>
    <w:p>
      <w:pPr>
        <w:spacing w:after="100"/>
        <w:pBdr>
          <w:bottom w:val="single" w:sz="18" w:space="1" w:color="0090AE"/>
        </w:pBdr>
      </w:pPr>
    </w:p>
    <w:p>
      <w:pPr>
        <w:pStyle w:val="SmallNote"/>
        <w:jc w:val="center"/>
      </w:pPr>
      <w:r>
        <w:t>Jamie Cooper and the Touchscreen Portal | The Gateway Saga - Book One | J P Harper</w:t>
      </w:r>
    </w:p>
    <w:tbl>
      <w:tblPr>
        <w:tblW w:type="auto" w:w="0"/>
        <w:jc w:val="center"/>
        <w:tblLook w:firstColumn="1" w:firstRow="1" w:lastColumn="0" w:lastRow="0" w:noHBand="0" w:noVBand="1" w:val="04A0"/>
      </w:tblPr>
      <w:tblGrid>
        <w:gridCol w:w="10166"/>
      </w:tblGrid>
      <w:tr>
        <w:tc>
          <w:tcPr>
            <w:tcW w:type="dxa" w:w="10166"/>
            <w:shd w:fill="FFF6DD"/>
            <w:tcMar>
              <w:top w:w="120" w:type="dxa"/>
              <w:start w:w="150" w:type="dxa"/>
              <w:bottom w:w="120" w:type="dxa"/>
              <w:end w:w="150" w:type="dxa"/>
            </w:tcMar>
          </w:tcPr>
          <w:p>
            <w:pPr>
              <w:spacing w:after="60"/>
            </w:pPr>
            <w:r>
              <w:rPr>
                <w:b/>
                <w:color w:val="0E223C"/>
              </w:rPr>
              <w:t>Core motion</w:t>
            </w:r>
          </w:p>
          <w:p>
            <w:pPr>
              <w:spacing w:after="0"/>
            </w:pPr>
            <w:r>
              <w:t>Jamie should activate the Gateway when an unknown message tells him that he is needed.</w:t>
            </w:r>
          </w:p>
        </w:tc>
      </w:tr>
    </w:tbl>
    <w:p>
      <w:pPr>
        <w:spacing w:after="0"/>
      </w:pPr>
    </w:p>
    <w:p>
      <w:pPr>
        <w:pStyle w:val="Heading1"/>
      </w:pPr>
      <w:r>
        <w:t>1. The situation</w:t>
      </w:r>
    </w:p>
    <w:p>
      <w:r>
        <w:t>Jamie is twelve. His tablet begins displaying unexplained messages even when it is offline. The sender identifies itself as 2126, says the Gateway is unstable, and claims Jamie is needed for the sake of humanity. A glowing pattern appears and asks him to touch it.</w:t>
      </w:r>
    </w:p>
    <w:p>
      <w:pPr>
        <w:pStyle w:val="Heading1"/>
      </w:pPr>
      <w:r>
        <w:t>2. Choose an initial position</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E223C"/>
          </w:tcPr>
          <w:p>
            <w:r>
              <w:rPr>
                <w:b/>
                <w:color w:val="FFFFFF"/>
              </w:rPr>
              <w:t>YES - enter</w:t>
            </w:r>
          </w:p>
        </w:tc>
        <w:tc>
          <w:tcPr>
            <w:tcW w:type="dxa" w:w="3389"/>
            <w:shd w:fill="0E223C"/>
          </w:tcPr>
          <w:p>
            <w:r>
              <w:rPr>
                <w:b/>
                <w:color w:val="FFFFFF"/>
              </w:rPr>
              <w:t>NO - do not enter</w:t>
            </w:r>
          </w:p>
        </w:tc>
        <w:tc>
          <w:tcPr>
            <w:tcW w:type="dxa" w:w="3389"/>
            <w:shd w:fill="0090AE"/>
          </w:tcPr>
          <w:p>
            <w:r>
              <w:rPr>
                <w:b/>
                <w:color w:val="FFFFFF"/>
              </w:rPr>
              <w:t>NOT YET - investigate first</w:t>
            </w:r>
          </w:p>
        </w:tc>
      </w:tr>
      <w:tr>
        <w:tc>
          <w:tcPr>
            <w:tcW w:type="dxa" w:w="3389"/>
            <w:tcMar>
              <w:top w:w="110" w:type="dxa"/>
              <w:start w:w="120" w:type="dxa"/>
              <w:bottom w:w="110" w:type="dxa"/>
              <w:end w:w="120" w:type="dxa"/>
            </w:tcMar>
          </w:tcPr>
          <w:p>
            <w:r>
              <w:t>The possibility that someone genuinely needs help may justify taking the risk.</w:t>
            </w:r>
          </w:p>
        </w:tc>
        <w:tc>
          <w:tcPr>
            <w:tcW w:type="dxa" w:w="3389"/>
            <w:tcMar>
              <w:top w:w="110" w:type="dxa"/>
              <w:start w:w="120" w:type="dxa"/>
              <w:bottom w:w="110" w:type="dxa"/>
              <w:end w:w="120" w:type="dxa"/>
            </w:tcMar>
          </w:tcPr>
          <w:p>
            <w:r>
              <w:t>The source is unknown, the danger is unclear and Jamie should involve a trusted adult.</w:t>
            </w:r>
          </w:p>
        </w:tc>
        <w:tc>
          <w:tcPr>
            <w:tcW w:type="dxa" w:w="3389"/>
            <w:tcMar>
              <w:top w:w="110" w:type="dxa"/>
              <w:start w:w="120" w:type="dxa"/>
              <w:bottom w:w="110" w:type="dxa"/>
              <w:end w:w="120" w:type="dxa"/>
            </w:tcMar>
          </w:tcPr>
          <w:p>
            <w:r>
              <w:t>Jamie should gather evidence, test the device and decide only when he knows more.</w:t>
            </w:r>
          </w:p>
        </w:tc>
      </w:tr>
    </w:tbl>
    <w:p>
      <w:pPr>
        <w:pStyle w:val="Heading1"/>
      </w:pPr>
      <w:r>
        <w:t>3. Evidence planner</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E223C"/>
          </w:tcPr>
          <w:p>
            <w:r>
              <w:rPr>
                <w:b/>
                <w:color w:val="FFFFFF"/>
              </w:rPr>
              <w:t>Question</w:t>
            </w:r>
          </w:p>
        </w:tc>
        <w:tc>
          <w:tcPr>
            <w:tcW w:type="dxa" w:w="2541"/>
            <w:shd w:fill="0E223C"/>
          </w:tcPr>
          <w:p>
            <w:r>
              <w:rPr>
                <w:b/>
                <w:color w:val="FFFFFF"/>
              </w:rPr>
              <w:t>Evidence / reasoning</w:t>
            </w:r>
          </w:p>
        </w:tc>
        <w:tc>
          <w:tcPr>
            <w:tcW w:type="dxa" w:w="2541"/>
            <w:shd w:fill="0E223C"/>
          </w:tcPr>
          <w:p>
            <w:r>
              <w:rPr>
                <w:b/>
                <w:color w:val="FFFFFF"/>
              </w:rPr>
              <w:t>Does it support entering?</w:t>
            </w:r>
          </w:p>
        </w:tc>
        <w:tc>
          <w:tcPr>
            <w:tcW w:type="dxa" w:w="2541"/>
            <w:shd w:fill="0E223C"/>
          </w:tcPr>
          <w:p>
            <w:r>
              <w:rPr>
                <w:b/>
                <w:color w:val="FFFFFF"/>
              </w:rPr>
              <w:t>Does it support caution?</w:t>
            </w:r>
          </w:p>
        </w:tc>
      </w:tr>
      <w:tr>
        <w:tc>
          <w:tcPr>
            <w:tcW w:type="dxa" w:w="2541"/>
            <w:tcMar>
              <w:top w:w="80" w:type="dxa"/>
              <w:start w:w="120" w:type="dxa"/>
              <w:bottom w:w="80" w:type="dxa"/>
              <w:end w:w="120" w:type="dxa"/>
            </w:tcMar>
          </w:tcPr>
          <w:p>
            <w:r>
              <w:t>How trustworthy is the sender?</w:t>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r>
      <w:tr>
        <w:tc>
          <w:tcPr>
            <w:tcW w:type="dxa" w:w="2541"/>
            <w:tcMar>
              <w:top w:w="80" w:type="dxa"/>
              <w:start w:w="120" w:type="dxa"/>
              <w:bottom w:w="80" w:type="dxa"/>
              <w:end w:w="120" w:type="dxa"/>
            </w:tcMar>
          </w:tcPr>
          <w:p>
            <w:r>
              <w:t>How urgent is the message?</w:t>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r>
      <w:tr>
        <w:tc>
          <w:tcPr>
            <w:tcW w:type="dxa" w:w="2541"/>
            <w:tcMar>
              <w:top w:w="80" w:type="dxa"/>
              <w:start w:w="120" w:type="dxa"/>
              <w:bottom w:w="80" w:type="dxa"/>
              <w:end w:w="120" w:type="dxa"/>
            </w:tcMar>
          </w:tcPr>
          <w:p>
            <w:r>
              <w:t>What does Jamie know about the consequences?</w:t>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r>
      <w:tr>
        <w:tc>
          <w:tcPr>
            <w:tcW w:type="dxa" w:w="2541"/>
            <w:tcMar>
              <w:top w:w="80" w:type="dxa"/>
              <w:start w:w="120" w:type="dxa"/>
              <w:bottom w:w="80" w:type="dxa"/>
              <w:end w:w="120" w:type="dxa"/>
            </w:tcMar>
          </w:tcPr>
          <w:p>
            <w:r>
              <w:t>What responsibility does he have if someone may be in danger?</w:t>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r>
      <w:tr>
        <w:tc>
          <w:tcPr>
            <w:tcW w:type="dxa" w:w="2541"/>
            <w:tcMar>
              <w:top w:w="80" w:type="dxa"/>
              <w:start w:w="120" w:type="dxa"/>
              <w:bottom w:w="80" w:type="dxa"/>
              <w:end w:w="120" w:type="dxa"/>
            </w:tcMar>
          </w:tcPr>
          <w:p>
            <w:r>
              <w:t>What safer actions could he take first?</w:t>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r>
      <w:tr>
        <w:tc>
          <w:tcPr>
            <w:tcW w:type="dxa" w:w="2541"/>
            <w:tcMar>
              <w:top w:w="80" w:type="dxa"/>
              <w:start w:w="120" w:type="dxa"/>
              <w:bottom w:w="80" w:type="dxa"/>
              <w:end w:w="120" w:type="dxa"/>
            </w:tcMar>
          </w:tcPr>
          <w:p>
            <w:r>
              <w:t>How might grief, loneliness or curiosity influence his judgement?</w:t>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c>
          <w:tcPr>
            <w:tcW w:type="dxa" w:w="2541"/>
            <w:tcMar>
              <w:top w:w="80" w:type="dxa"/>
              <w:start w:w="120" w:type="dxa"/>
              <w:bottom w:w="80" w:type="dxa"/>
              <w:end w:w="120" w:type="dxa"/>
            </w:tcMar>
          </w:tcPr>
          <w:p>
            <w:r>
              <w:br/>
              <w:br/>
            </w:r>
          </w:p>
        </w:tc>
      </w:tr>
    </w:tbl>
    <w:p>
      <w:pPr>
        <w:pStyle w:val="Heading1"/>
      </w:pPr>
      <w:r>
        <w:t>4. Build your argument</w:t>
      </w:r>
    </w:p>
    <w:p>
      <w:pPr>
        <w:pStyle w:val="WorksheetPrompt"/>
      </w:pPr>
      <w:r>
        <w:t>1. Our position is...</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WorksheetPrompt"/>
      </w:pPr>
      <w:r>
        <w:t>2. Our strongest reason is...</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WorksheetPrompt"/>
      </w:pPr>
      <w:r>
        <w:t>3. The best evidence supporting us is...</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WorksheetPrompt"/>
      </w:pPr>
      <w:r>
        <w:t>4. The strongest argument against our position is...</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WorksheetPrompt"/>
      </w:pPr>
      <w:r>
        <w:t>5. Our reply to that argument is...</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Heading1"/>
      </w:pPr>
      <w:r>
        <w:t>5. Debate structure</w:t>
      </w:r>
    </w:p>
    <w:p>
      <w:pPr>
        <w:pStyle w:val="ListBullet"/>
        <w:spacing w:after="50"/>
      </w:pPr>
      <w:r>
        <w:t>Opening statement - 45 seconds per side.</w:t>
      </w:r>
    </w:p>
    <w:p>
      <w:pPr>
        <w:pStyle w:val="ListBullet"/>
        <w:spacing w:after="50"/>
      </w:pPr>
      <w:r>
        <w:t>Evidence round - each side gives two reasons linked to the situation.</w:t>
      </w:r>
    </w:p>
    <w:p>
      <w:pPr>
        <w:pStyle w:val="ListBullet"/>
        <w:spacing w:after="50"/>
      </w:pPr>
      <w:r>
        <w:t>Challenge round - ask one respectful question of the opposing side.</w:t>
      </w:r>
    </w:p>
    <w:p>
      <w:pPr>
        <w:pStyle w:val="ListBullet"/>
        <w:spacing w:after="50"/>
      </w:pPr>
      <w:r>
        <w:t>Rebuttal - explain why your position still stands.</w:t>
      </w:r>
    </w:p>
    <w:p>
      <w:pPr>
        <w:pStyle w:val="ListBullet"/>
        <w:spacing w:after="50"/>
      </w:pPr>
      <w:r>
        <w:t>Final statement - 30 seconds each.</w:t>
      </w:r>
    </w:p>
    <w:p>
      <w:pPr>
        <w:pStyle w:val="ListBullet"/>
        <w:spacing w:after="50"/>
      </w:pPr>
      <w:r>
        <w:t>Vote - readers may change their original position.</w:t>
      </w:r>
    </w:p>
    <w:p>
      <w:pPr>
        <w:pStyle w:val="Heading1"/>
      </w:pPr>
      <w:r>
        <w:t>6. Sentence starters</w:t>
      </w:r>
    </w:p>
    <w:p>
      <w:pPr>
        <w:pStyle w:val="ListBullet"/>
        <w:spacing w:after="50"/>
      </w:pPr>
      <w:r>
        <w:t>The strongest evidence for our position is...</w:t>
      </w:r>
    </w:p>
    <w:p>
      <w:pPr>
        <w:pStyle w:val="ListBullet"/>
        <w:spacing w:after="50"/>
      </w:pPr>
      <w:r>
        <w:t>That argument assumes that...</w:t>
      </w:r>
    </w:p>
    <w:p>
      <w:pPr>
        <w:pStyle w:val="ListBullet"/>
        <w:spacing w:after="50"/>
      </w:pPr>
      <w:r>
        <w:t>A safer alternative would be...</w:t>
      </w:r>
    </w:p>
    <w:p>
      <w:pPr>
        <w:pStyle w:val="ListBullet"/>
        <w:spacing w:after="50"/>
      </w:pPr>
      <w:r>
        <w:t>I agree with part of that point, but...</w:t>
      </w:r>
    </w:p>
    <w:p>
      <w:pPr>
        <w:pStyle w:val="ListBullet"/>
        <w:spacing w:after="50"/>
      </w:pPr>
      <w:r>
        <w:t>The risk changes when we learn that...</w:t>
      </w:r>
    </w:p>
    <w:p>
      <w:pPr>
        <w:pStyle w:val="ListBullet"/>
        <w:spacing w:after="50"/>
      </w:pPr>
      <w:r>
        <w:t>I changed my mind because...</w:t>
      </w:r>
    </w:p>
    <w:p>
      <w:pPr>
        <w:pStyle w:val="Heading1"/>
      </w:pPr>
      <w:r>
        <w:t>7. Second debate - after finishing the novel</w:t>
      </w:r>
    </w:p>
    <w:tbl>
      <w:tblPr>
        <w:tblW w:type="auto" w:w="0"/>
        <w:jc w:val="center"/>
        <w:tblLook w:firstColumn="1" w:firstRow="1" w:lastColumn="0" w:lastRow="0" w:noHBand="0" w:noVBand="1" w:val="04A0"/>
      </w:tblPr>
      <w:tblGrid>
        <w:gridCol w:w="10166"/>
      </w:tblGrid>
      <w:tr>
        <w:tc>
          <w:tcPr>
            <w:tcW w:type="dxa" w:w="10166"/>
            <w:shd w:fill="EAF5F7"/>
            <w:tcMar>
              <w:top w:w="120" w:type="dxa"/>
              <w:start w:w="150" w:type="dxa"/>
              <w:bottom w:w="120" w:type="dxa"/>
              <w:end w:w="150" w:type="dxa"/>
            </w:tcMar>
          </w:tcPr>
          <w:p>
            <w:pPr>
              <w:spacing w:after="60"/>
            </w:pPr>
            <w:r>
              <w:rPr>
                <w:b/>
                <w:color w:val="0E223C"/>
              </w:rPr>
              <w:t>New motion</w:t>
            </w:r>
          </w:p>
          <w:p>
            <w:pPr>
              <w:spacing w:after="0"/>
            </w:pPr>
            <w:r>
              <w:t>After everything Jamie learns in Book One, he should continue using the Gateway.</w:t>
            </w:r>
          </w:p>
        </w:tc>
      </w:tr>
    </w:tbl>
    <w:p>
      <w:pPr>
        <w:spacing w:after="0"/>
      </w:pPr>
    </w:p>
    <w:p>
      <w:r>
        <w:t>Revisit the same questions with new evidence: Myridiam's inhabitants are affected by real consequences; Cameron appears connected to the Gateway; the trio's actions save lives; 2126 remains unexplained; and the friends are now entangled in a widening conflict.</w:t>
      </w:r>
    </w:p>
    <w:p>
      <w:pPr>
        <w:pStyle w:val="WorksheetPrompt"/>
      </w:pPr>
      <w:r>
        <w:t>What evidence has changed since the first debate?</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WorksheetPrompt"/>
      </w:pPr>
      <w:r>
        <w:t>Does knowing that Myridiam is real create more responsibility or more reason to stay away?</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p>
      <w:pPr>
        <w:pStyle w:val="WorksheetPrompt"/>
      </w:pPr>
      <w:r>
        <w:t>What safeguards should the trio insist on before returning?</w:t>
      </w:r>
    </w:p>
    <w:p>
      <w:pPr>
        <w:spacing w:after="20"/>
      </w:pPr>
      <w:r>
        <w:rPr>
          <w:color w:val="969EA6"/>
          <w:sz w:val="16"/>
        </w:rPr>
        <w:t>________________________________________________________________________________</w:t>
      </w:r>
    </w:p>
    <w:p>
      <w:pPr>
        <w:spacing w:after="20"/>
      </w:pPr>
      <w:r>
        <w:rPr>
          <w:color w:val="969EA6"/>
          <w:sz w:val="16"/>
        </w:rPr>
        <w:t>________________________________________________________________________________</w:t>
      </w:r>
    </w:p>
    <w:sectPr w:rsidR="00FC693F" w:rsidRPr="0006063C" w:rsidSect="00034616">
      <w:footerReference w:type="default" r:id="rId9"/>
      <w:pgSz w:w="12240" w:h="15840"/>
      <w:pgMar w:top="936" w:right="1037" w:bottom="864"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0E223C"/>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b/>
      <w:color w:val="0E223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5606E"/>
      <w:sz w:val="16"/>
    </w:rPr>
  </w:style>
  <w:style w:type="paragraph" w:customStyle="1" w:styleId="WorksheetPrompt">
    <w:name w:val="Worksheet Prompt"/>
    <w:pPr>
      <w:spacing w:after="60"/>
    </w:pPr>
    <w:rPr>
      <w:rFonts w:ascii="Aptos" w:hAnsi="Aptos"/>
      <w:b/>
      <w:color w:val="0E223C"/>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