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First Impressions and Misjudgement Worksheet</w:t>
      </w:r>
    </w:p>
    <w:p>
      <w:pPr>
        <w:spacing w:after="140"/>
        <w:pBdr>
          <w:bottom w:val="single" w:sz="10" w:space="1" w:color="2A70C9"/>
        </w:pBdr>
      </w:pPr>
    </w:p>
    <w:p>
      <w:pPr>
        <w:pStyle w:val="Subtitle"/>
        <w:jc w:val="center"/>
      </w:pPr>
      <w:r>
        <w:t>Explore rumours, labels, assumptions and fairer ways of seeing people</w:t>
      </w:r>
    </w:p>
    <w:p>
      <w:pPr>
        <w:spacing w:after="140"/>
        <w:pBdr>
          <w:bottom w:val="single" w:sz="22" w:space="1" w:color="0090AE"/>
        </w:pBdr>
      </w:pPr>
    </w:p>
    <w:p>
      <w:pPr>
        <w:jc w:val="center"/>
      </w:pPr>
      <w:r>
        <w:drawing>
          <wp:inline xmlns:a="http://schemas.openxmlformats.org/drawingml/2006/main" xmlns:pic="http://schemas.openxmlformats.org/drawingml/2006/picture">
            <wp:extent cx="1572768" cy="2359152"/>
            <wp:docPr id="1" name="Picture 1"/>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1572768" cy="2359152"/>
                    </a:xfrm>
                    <a:prstGeom prst="rect"/>
                  </pic:spPr>
                </pic:pic>
              </a:graphicData>
            </a:graphic>
          </wp:inline>
        </w:drawing>
      </w:r>
    </w:p>
    <w:p>
      <w:pPr>
        <w:pStyle w:val="SmallNote"/>
        <w:jc w:val="center"/>
      </w:pPr>
      <w:r>
        <w:t>Jamie Cooper and the Touchscreen Portal | The Gateway Saga - Book One | J P Harper</w:t>
      </w:r>
    </w:p>
    <w:tbl>
      <w:tblPr>
        <w:tblW w:type="auto" w:w="0"/>
        <w:jc w:val="center"/>
        <w:tblLayout w:type="autofit"/>
        <w:tblLook w:firstColumn="1" w:firstRow="1" w:lastColumn="0" w:lastRow="0" w:noHBand="0" w:noVBand="1" w:val="04A0"/>
      </w:tblPr>
      <w:tblGrid>
        <w:gridCol w:w="10166"/>
      </w:tblGrid>
      <w:tr>
        <w:tc>
          <w:tcPr>
            <w:tcW w:type="dxa" w:w="10166"/>
            <w:shd w:fill="E6F3F7"/>
            <w:tcMar>
              <w:top w:w="130" w:type="dxa"/>
              <w:start w:w="160" w:type="dxa"/>
              <w:bottom w:w="130" w:type="dxa"/>
              <w:end w:w="160" w:type="dxa"/>
            </w:tcMar>
          </w:tcPr>
          <w:p>
            <w:pPr>
              <w:pStyle w:val="Heading3"/>
              <w:spacing w:before="0" w:after="60"/>
            </w:pPr>
            <w:r>
              <w:t>Spoiler-aware personal-development activity</w:t>
            </w:r>
          </w:p>
          <w:p>
            <w:pPr>
              <w:spacing w:after="0"/>
            </w:pPr>
            <w:r>
              <w:t>This worksheet focuses especially on how Dan is judged at school, while extending the discussion to Jamie, Lakshmi and the peoples of Myridiam. It may be used for English, PSHE or reading-group discussion.</w:t>
            </w:r>
          </w:p>
        </w:tc>
      </w:tr>
    </w:tbl>
    <w:p>
      <w:pPr>
        <w:spacing w:after="0"/>
      </w:pPr>
    </w:p>
    <w:p>
      <w:r>
        <w:br w:type="page"/>
      </w:r>
    </w:p>
    <w:tbl>
      <w:tblPr>
        <w:tblW w:type="auto" w:w="0"/>
        <w:jc w:val="center"/>
        <w:tblLook w:firstColumn="1" w:firstRow="1" w:lastColumn="0" w:lastRow="0" w:noHBand="0" w:noVBand="1" w:val="04A0"/>
        <w:tblBorders>
          <w:top w:val="single" w:sz="4" w:space="0" w:color="C9D1DA"/>
          <w:left w:val="single" w:sz="4" w:space="0" w:color="C9D1DA"/>
          <w:bottom w:val="single" w:sz="4" w:space="0" w:color="C9D1DA"/>
          <w:right w:val="single" w:sz="4" w:space="0" w:color="C9D1DA"/>
          <w:insideH w:val="single" w:sz="4" w:space="0" w:color="C9D1DA"/>
          <w:insideV w:val="single" w:sz="4" w:space="0" w:color="C9D1DA"/>
        </w:tblBorders>
      </w:tblPr>
      <w:tblGrid>
        <w:gridCol w:w="3389"/>
        <w:gridCol w:w="3389"/>
        <w:gridCol w:w="3389"/>
      </w:tblGrid>
      <w:tr>
        <w:tc>
          <w:tcPr>
            <w:tcW w:type="dxa" w:w="3389"/>
            <w:tcMar>
              <w:top w:w="70" w:type="dxa"/>
              <w:start w:w="110" w:type="dxa"/>
              <w:bottom w:w="70" w:type="dxa"/>
              <w:end w:w="110" w:type="dxa"/>
            </w:tcMar>
          </w:tcPr>
          <w:p>
            <w:r>
              <w:rPr>
                <w:b/>
              </w:rPr>
              <w:t>Name: ____________________</w:t>
            </w:r>
          </w:p>
        </w:tc>
        <w:tc>
          <w:tcPr>
            <w:tcW w:type="dxa" w:w="3389"/>
            <w:tcMar>
              <w:top w:w="70" w:type="dxa"/>
              <w:start w:w="110" w:type="dxa"/>
              <w:bottom w:w="70" w:type="dxa"/>
              <w:end w:w="110" w:type="dxa"/>
            </w:tcMar>
          </w:tcPr>
          <w:p>
            <w:r>
              <w:rPr>
                <w:b/>
              </w:rPr>
              <w:t>Class/group: ____________________</w:t>
            </w:r>
          </w:p>
        </w:tc>
        <w:tc>
          <w:tcPr>
            <w:tcW w:type="dxa" w:w="3389"/>
            <w:tcMar>
              <w:top w:w="70" w:type="dxa"/>
              <w:start w:w="110" w:type="dxa"/>
              <w:bottom w:w="70" w:type="dxa"/>
              <w:end w:w="110" w:type="dxa"/>
            </w:tcMar>
          </w:tcPr>
          <w:p>
            <w:r>
              <w:rPr>
                <w:b/>
              </w:rPr>
              <w:t>Date: ____________________</w:t>
            </w:r>
          </w:p>
        </w:tc>
      </w:tr>
    </w:tbl>
    <w:p>
      <w:pPr>
        <w:spacing w:after="0"/>
      </w:pPr>
    </w:p>
    <w:tbl>
      <w:tblPr>
        <w:tblW w:type="auto" w:w="0"/>
        <w:jc w:val="center"/>
        <w:tblLayout w:type="autofit"/>
        <w:tblLook w:firstColumn="1" w:firstRow="1" w:lastColumn="0" w:lastRow="0" w:noHBand="0" w:noVBand="1" w:val="04A0"/>
      </w:tblPr>
      <w:tblGrid>
        <w:gridCol w:w="10166"/>
      </w:tblGrid>
      <w:tr>
        <w:tc>
          <w:tcPr>
            <w:tcW w:type="dxa" w:w="10166"/>
            <w:shd w:fill="FFF6DF"/>
            <w:tcMar>
              <w:top w:w="130" w:type="dxa"/>
              <w:start w:w="160" w:type="dxa"/>
              <w:bottom w:w="130" w:type="dxa"/>
              <w:end w:w="160" w:type="dxa"/>
            </w:tcMar>
          </w:tcPr>
          <w:p>
            <w:pPr>
              <w:pStyle w:val="Heading3"/>
              <w:spacing w:before="0" w:after="60"/>
            </w:pPr>
            <w:r>
              <w:t>Sensitive-content note</w:t>
            </w:r>
          </w:p>
          <w:p>
            <w:pPr>
              <w:spacing w:after="0"/>
            </w:pPr>
            <w:r>
              <w:t>The activity refers to bullying, social isolation, unfair treatment by peers and adults, and a difficult home environment. Readers may discuss fictional evidence without being asked to disclose personal experiences.</w:t>
            </w:r>
          </w:p>
        </w:tc>
      </w:tr>
    </w:tbl>
    <w:p>
      <w:pPr>
        <w:spacing w:after="0"/>
      </w:pPr>
    </w:p>
    <w:p>
      <w:pPr>
        <w:pStyle w:val="Heading1"/>
      </w:pPr>
      <w:r>
        <w:t>Activity 1 - Observation, inference or rumour?</w:t>
      </w:r>
    </w:p>
    <w:p>
      <w:r>
        <w:t>An observation reports what can be seen or heard. An inference is an interpretation. A rumour is unverified information passed between people. Classify each statement.</w:t>
      </w:r>
    </w:p>
    <w:tbl>
      <w:tblPr>
        <w:tblStyle w:val="TableGrid"/>
        <w:tblW w:type="auto" w:w="0"/>
        <w:jc w:val="center"/>
        <w:tblLayout w:type="autofit"/>
        <w:tblLook w:firstColumn="1" w:firstRow="1" w:lastColumn="0" w:lastRow="0" w:noHBand="0" w:noVBand="1" w:val="04A0"/>
        <w:tblBorders>
          <w:top w:val="single" w:sz="6" w:space="0" w:color="B8C3CF"/>
          <w:left w:val="single" w:sz="6" w:space="0" w:color="B8C3CF"/>
          <w:bottom w:val="single" w:sz="6" w:space="0" w:color="B8C3CF"/>
          <w:right w:val="single" w:sz="6" w:space="0" w:color="B8C3CF"/>
          <w:insideH w:val="single" w:sz="6" w:space="0" w:color="B8C3CF"/>
          <w:insideV w:val="single" w:sz="6" w:space="0" w:color="B8C3CF"/>
        </w:tblBorders>
      </w:tblPr>
      <w:tblGrid>
        <w:gridCol w:w="3389"/>
        <w:gridCol w:w="3389"/>
        <w:gridCol w:w="3389"/>
      </w:tblGrid>
      <w:tr>
        <w:trPr>
          <w:tblHeader w:val="true"/>
          <w:cantSplit/>
        </w:trPr>
        <w:tc>
          <w:tcPr>
            <w:tcW w:type="dxa" w:w="3389"/>
            <w:shd w:fill="0E223C"/>
            <w:tcMar>
              <w:top w:w="90" w:type="dxa"/>
              <w:start w:w="110" w:type="dxa"/>
              <w:bottom w:w="90" w:type="dxa"/>
              <w:end w:w="110" w:type="dxa"/>
            </w:tcMar>
          </w:tcPr>
          <w:p>
            <w:r>
              <w:rPr>
                <w:b/>
                <w:color w:val="FFFFFF"/>
                <w:sz w:val="19"/>
              </w:rPr>
              <w:t>Statement</w:t>
            </w:r>
          </w:p>
        </w:tc>
        <w:tc>
          <w:tcPr>
            <w:tcW w:type="dxa" w:w="3389"/>
            <w:shd w:fill="0E223C"/>
            <w:tcMar>
              <w:top w:w="90" w:type="dxa"/>
              <w:start w:w="110" w:type="dxa"/>
              <w:bottom w:w="90" w:type="dxa"/>
              <w:end w:w="110" w:type="dxa"/>
            </w:tcMar>
          </w:tcPr>
          <w:p>
            <w:r>
              <w:rPr>
                <w:b/>
                <w:color w:val="FFFFFF"/>
                <w:sz w:val="19"/>
              </w:rPr>
              <w:t>Observation / inference / rumour</w:t>
            </w:r>
          </w:p>
        </w:tc>
        <w:tc>
          <w:tcPr>
            <w:tcW w:type="dxa" w:w="3389"/>
            <w:shd w:fill="0E223C"/>
            <w:tcMar>
              <w:top w:w="90" w:type="dxa"/>
              <w:start w:w="110" w:type="dxa"/>
              <w:bottom w:w="90" w:type="dxa"/>
              <w:end w:w="110" w:type="dxa"/>
            </w:tcMar>
          </w:tcPr>
          <w:p>
            <w:r>
              <w:rPr>
                <w:b/>
                <w:color w:val="FFFFFF"/>
                <w:sz w:val="19"/>
              </w:rPr>
              <w:t>How reliable is it, and why?</w:t>
            </w:r>
          </w:p>
        </w:tc>
      </w:tr>
      <w:tr>
        <w:trPr>
          <w:cantSplit/>
        </w:trPr>
        <w:tc>
          <w:tcPr>
            <w:tcW w:type="dxa" w:w="3389"/>
            <w:tcMar>
              <w:top w:w="90" w:type="dxa"/>
              <w:start w:w="110" w:type="dxa"/>
              <w:bottom w:w="90" w:type="dxa"/>
              <w:end w:w="110" w:type="dxa"/>
            </w:tcMar>
            <w:vAlign w:val="top"/>
            <w:shd w:fill="F2F4F7"/>
          </w:tcPr>
          <w:p>
            <w:pPr>
              <w:spacing w:after="40"/>
            </w:pPr>
            <w:r>
              <w:rPr>
                <w:sz w:val="19"/>
              </w:rPr>
              <w:t>Dan sits alone and keeps his gaze down.</w:t>
            </w:r>
          </w:p>
        </w:tc>
        <w:tc>
          <w:tcPr>
            <w:tcW w:type="dxa" w:w="3389"/>
            <w:tcMar>
              <w:top w:w="90" w:type="dxa"/>
              <w:start w:w="110" w:type="dxa"/>
              <w:bottom w:w="90" w:type="dxa"/>
              <w:end w:w="110" w:type="dxa"/>
            </w:tcMar>
            <w:vAlign w:val="top"/>
          </w:tcPr>
          <w:p>
            <w:pPr>
              <w:spacing w:after="40"/>
            </w:pPr>
            <w:r>
              <w:rPr>
                <w:sz w:val="19"/>
              </w:rPr>
            </w:r>
          </w:p>
        </w:tc>
        <w:tc>
          <w:tcPr>
            <w:tcW w:type="dxa" w:w="3389"/>
            <w:tcMar>
              <w:top w:w="90" w:type="dxa"/>
              <w:start w:w="110" w:type="dxa"/>
              <w:bottom w:w="90" w:type="dxa"/>
              <w:end w:w="110" w:type="dxa"/>
            </w:tcMar>
            <w:vAlign w:val="top"/>
          </w:tcPr>
          <w:p>
            <w:pPr>
              <w:spacing w:after="40"/>
            </w:pPr>
            <w:r>
              <w:rPr>
                <w:sz w:val="19"/>
              </w:rPr>
            </w:r>
          </w:p>
        </w:tc>
      </w:tr>
      <w:tr>
        <w:trPr>
          <w:cantSplit/>
        </w:trPr>
        <w:tc>
          <w:tcPr>
            <w:tcW w:type="dxa" w:w="3389"/>
            <w:tcMar>
              <w:top w:w="90" w:type="dxa"/>
              <w:start w:w="110" w:type="dxa"/>
              <w:bottom w:w="90" w:type="dxa"/>
              <w:end w:w="110" w:type="dxa"/>
            </w:tcMar>
            <w:vAlign w:val="top"/>
            <w:shd w:fill="F2F4F7"/>
          </w:tcPr>
          <w:p>
            <w:pPr>
              <w:spacing w:after="40"/>
            </w:pPr>
            <w:r>
              <w:rPr>
                <w:sz w:val="19"/>
              </w:rPr>
              <w:t>Dan must be dangerous because other pupils avoid him.</w:t>
            </w:r>
          </w:p>
        </w:tc>
        <w:tc>
          <w:tcPr>
            <w:tcW w:type="dxa" w:w="3389"/>
            <w:tcMar>
              <w:top w:w="90" w:type="dxa"/>
              <w:start w:w="110" w:type="dxa"/>
              <w:bottom w:w="90" w:type="dxa"/>
              <w:end w:w="110" w:type="dxa"/>
            </w:tcMar>
            <w:vAlign w:val="top"/>
          </w:tcPr>
          <w:p>
            <w:pPr>
              <w:spacing w:after="40"/>
            </w:pPr>
            <w:r>
              <w:rPr>
                <w:sz w:val="19"/>
              </w:rPr>
            </w:r>
          </w:p>
        </w:tc>
        <w:tc>
          <w:tcPr>
            <w:tcW w:type="dxa" w:w="3389"/>
            <w:tcMar>
              <w:top w:w="90" w:type="dxa"/>
              <w:start w:w="110" w:type="dxa"/>
              <w:bottom w:w="90" w:type="dxa"/>
              <w:end w:w="110" w:type="dxa"/>
            </w:tcMar>
            <w:vAlign w:val="top"/>
          </w:tcPr>
          <w:p>
            <w:pPr>
              <w:spacing w:after="40"/>
            </w:pPr>
            <w:r>
              <w:rPr>
                <w:sz w:val="19"/>
              </w:rPr>
            </w:r>
          </w:p>
        </w:tc>
      </w:tr>
      <w:tr>
        <w:trPr>
          <w:cantSplit/>
        </w:trPr>
        <w:tc>
          <w:tcPr>
            <w:tcW w:type="dxa" w:w="3389"/>
            <w:tcMar>
              <w:top w:w="90" w:type="dxa"/>
              <w:start w:w="110" w:type="dxa"/>
              <w:bottom w:w="90" w:type="dxa"/>
              <w:end w:w="110" w:type="dxa"/>
            </w:tcMar>
            <w:vAlign w:val="top"/>
            <w:shd w:fill="F2F4F7"/>
          </w:tcPr>
          <w:p>
            <w:pPr>
              <w:spacing w:after="40"/>
            </w:pPr>
            <w:r>
              <w:rPr>
                <w:sz w:val="19"/>
              </w:rPr>
              <w:t>Someone says Dan was suspended for fighting older pupils.</w:t>
            </w:r>
          </w:p>
        </w:tc>
        <w:tc>
          <w:tcPr>
            <w:tcW w:type="dxa" w:w="3389"/>
            <w:tcMar>
              <w:top w:w="90" w:type="dxa"/>
              <w:start w:w="110" w:type="dxa"/>
              <w:bottom w:w="90" w:type="dxa"/>
              <w:end w:w="110" w:type="dxa"/>
            </w:tcMar>
            <w:vAlign w:val="top"/>
          </w:tcPr>
          <w:p>
            <w:pPr>
              <w:spacing w:after="40"/>
            </w:pPr>
            <w:r>
              <w:rPr>
                <w:sz w:val="19"/>
              </w:rPr>
            </w:r>
          </w:p>
        </w:tc>
        <w:tc>
          <w:tcPr>
            <w:tcW w:type="dxa" w:w="3389"/>
            <w:tcMar>
              <w:top w:w="90" w:type="dxa"/>
              <w:start w:w="110" w:type="dxa"/>
              <w:bottom w:w="90" w:type="dxa"/>
              <w:end w:w="110" w:type="dxa"/>
            </w:tcMar>
            <w:vAlign w:val="top"/>
          </w:tcPr>
          <w:p>
            <w:pPr>
              <w:spacing w:after="40"/>
            </w:pPr>
            <w:r>
              <w:rPr>
                <w:sz w:val="19"/>
              </w:rPr>
            </w:r>
          </w:p>
        </w:tc>
      </w:tr>
      <w:tr>
        <w:trPr>
          <w:cantSplit/>
        </w:trPr>
        <w:tc>
          <w:tcPr>
            <w:tcW w:type="dxa" w:w="3389"/>
            <w:tcMar>
              <w:top w:w="90" w:type="dxa"/>
              <w:start w:w="110" w:type="dxa"/>
              <w:bottom w:w="90" w:type="dxa"/>
              <w:end w:w="110" w:type="dxa"/>
            </w:tcMar>
            <w:vAlign w:val="top"/>
            <w:shd w:fill="F2F4F7"/>
          </w:tcPr>
          <w:p>
            <w:pPr>
              <w:spacing w:after="40"/>
            </w:pPr>
            <w:r>
              <w:rPr>
                <w:sz w:val="19"/>
              </w:rPr>
              <w:t>Mr Reeves speaks to Dan as though trouble is expected.</w:t>
            </w:r>
          </w:p>
        </w:tc>
        <w:tc>
          <w:tcPr>
            <w:tcW w:type="dxa" w:w="3389"/>
            <w:tcMar>
              <w:top w:w="90" w:type="dxa"/>
              <w:start w:w="110" w:type="dxa"/>
              <w:bottom w:w="90" w:type="dxa"/>
              <w:end w:w="110" w:type="dxa"/>
            </w:tcMar>
            <w:vAlign w:val="top"/>
          </w:tcPr>
          <w:p>
            <w:pPr>
              <w:spacing w:after="40"/>
            </w:pPr>
            <w:r>
              <w:rPr>
                <w:sz w:val="19"/>
              </w:rPr>
            </w:r>
          </w:p>
        </w:tc>
        <w:tc>
          <w:tcPr>
            <w:tcW w:type="dxa" w:w="3389"/>
            <w:tcMar>
              <w:top w:w="90" w:type="dxa"/>
              <w:start w:w="110" w:type="dxa"/>
              <w:bottom w:w="90" w:type="dxa"/>
              <w:end w:w="110" w:type="dxa"/>
            </w:tcMar>
            <w:vAlign w:val="top"/>
          </w:tcPr>
          <w:p>
            <w:pPr>
              <w:spacing w:after="40"/>
            </w:pPr>
            <w:r>
              <w:rPr>
                <w:sz w:val="19"/>
              </w:rPr>
            </w:r>
          </w:p>
        </w:tc>
      </w:tr>
      <w:tr>
        <w:trPr>
          <w:cantSplit/>
        </w:trPr>
        <w:tc>
          <w:tcPr>
            <w:tcW w:type="dxa" w:w="3389"/>
            <w:tcMar>
              <w:top w:w="90" w:type="dxa"/>
              <w:start w:w="110" w:type="dxa"/>
              <w:bottom w:w="90" w:type="dxa"/>
              <w:end w:w="110" w:type="dxa"/>
            </w:tcMar>
            <w:vAlign w:val="top"/>
            <w:shd w:fill="F2F4F7"/>
          </w:tcPr>
          <w:p>
            <w:pPr>
              <w:spacing w:after="40"/>
            </w:pPr>
            <w:r>
              <w:rPr>
                <w:sz w:val="19"/>
              </w:rPr>
              <w:t>Dan steps between Jamie and three older boys.</w:t>
            </w:r>
          </w:p>
        </w:tc>
        <w:tc>
          <w:tcPr>
            <w:tcW w:type="dxa" w:w="3389"/>
            <w:tcMar>
              <w:top w:w="90" w:type="dxa"/>
              <w:start w:w="110" w:type="dxa"/>
              <w:bottom w:w="90" w:type="dxa"/>
              <w:end w:w="110" w:type="dxa"/>
            </w:tcMar>
            <w:vAlign w:val="top"/>
          </w:tcPr>
          <w:p>
            <w:pPr>
              <w:spacing w:after="40"/>
            </w:pPr>
            <w:r>
              <w:rPr>
                <w:sz w:val="19"/>
              </w:rPr>
            </w:r>
          </w:p>
        </w:tc>
        <w:tc>
          <w:tcPr>
            <w:tcW w:type="dxa" w:w="3389"/>
            <w:tcMar>
              <w:top w:w="90" w:type="dxa"/>
              <w:start w:w="110" w:type="dxa"/>
              <w:bottom w:w="90" w:type="dxa"/>
              <w:end w:w="110" w:type="dxa"/>
            </w:tcMar>
            <w:vAlign w:val="top"/>
          </w:tcPr>
          <w:p>
            <w:pPr>
              <w:spacing w:after="40"/>
            </w:pPr>
            <w:r>
              <w:rPr>
                <w:sz w:val="19"/>
              </w:rPr>
            </w:r>
          </w:p>
        </w:tc>
      </w:tr>
      <w:tr>
        <w:trPr>
          <w:cantSplit/>
        </w:trPr>
        <w:tc>
          <w:tcPr>
            <w:tcW w:type="dxa" w:w="3389"/>
            <w:tcMar>
              <w:top w:w="90" w:type="dxa"/>
              <w:start w:w="110" w:type="dxa"/>
              <w:bottom w:w="90" w:type="dxa"/>
              <w:end w:w="110" w:type="dxa"/>
            </w:tcMar>
            <w:vAlign w:val="top"/>
            <w:shd w:fill="F2F4F7"/>
          </w:tcPr>
          <w:p>
            <w:pPr>
              <w:spacing w:after="40"/>
            </w:pPr>
            <w:r>
              <w:rPr>
                <w:sz w:val="19"/>
              </w:rPr>
              <w:t>Dan chooses not to strike back because escalation would make matters worse.</w:t>
            </w:r>
          </w:p>
        </w:tc>
        <w:tc>
          <w:tcPr>
            <w:tcW w:type="dxa" w:w="3389"/>
            <w:tcMar>
              <w:top w:w="90" w:type="dxa"/>
              <w:start w:w="110" w:type="dxa"/>
              <w:bottom w:w="90" w:type="dxa"/>
              <w:end w:w="110" w:type="dxa"/>
            </w:tcMar>
            <w:vAlign w:val="top"/>
          </w:tcPr>
          <w:p>
            <w:pPr>
              <w:spacing w:after="40"/>
            </w:pPr>
            <w:r>
              <w:rPr>
                <w:sz w:val="19"/>
              </w:rPr>
            </w:r>
          </w:p>
        </w:tc>
        <w:tc>
          <w:tcPr>
            <w:tcW w:type="dxa" w:w="3389"/>
            <w:tcMar>
              <w:top w:w="90" w:type="dxa"/>
              <w:start w:w="110" w:type="dxa"/>
              <w:bottom w:w="90" w:type="dxa"/>
              <w:end w:w="110" w:type="dxa"/>
            </w:tcMar>
            <w:vAlign w:val="top"/>
          </w:tcPr>
          <w:p>
            <w:pPr>
              <w:spacing w:after="40"/>
            </w:pPr>
            <w:r>
              <w:rPr>
                <w:sz w:val="19"/>
              </w:rPr>
            </w:r>
          </w:p>
        </w:tc>
      </w:tr>
    </w:tbl>
    <w:p>
      <w:pPr>
        <w:pStyle w:val="Heading1"/>
        <w:pageBreakBefore/>
      </w:pPr>
      <w:r>
        <w:t>Activity 2 - How a label grows</w:t>
      </w:r>
    </w:p>
    <w:p>
      <w:r>
        <w:t>Complete the chain showing how a limited observation can turn into an unfair identity.</w:t>
      </w:r>
    </w:p>
    <w:tbl>
      <w:tblPr>
        <w:tblStyle w:val="TableGrid"/>
        <w:tblW w:type="auto" w:w="0"/>
        <w:jc w:val="center"/>
        <w:tblLayout w:type="autofit"/>
        <w:tblLook w:firstColumn="1" w:firstRow="1" w:lastColumn="0" w:lastRow="0" w:noHBand="0" w:noVBand="1" w:val="04A0"/>
        <w:tblBorders>
          <w:top w:val="single" w:sz="6" w:space="0" w:color="B8C3CF"/>
          <w:left w:val="single" w:sz="6" w:space="0" w:color="B8C3CF"/>
          <w:bottom w:val="single" w:sz="6" w:space="0" w:color="B8C3CF"/>
          <w:right w:val="single" w:sz="6" w:space="0" w:color="B8C3CF"/>
          <w:insideH w:val="single" w:sz="6" w:space="0" w:color="B8C3CF"/>
          <w:insideV w:val="single" w:sz="6" w:space="0" w:color="B8C3CF"/>
        </w:tblBorders>
      </w:tblPr>
      <w:tblGrid>
        <w:gridCol w:w="2541"/>
        <w:gridCol w:w="2541"/>
        <w:gridCol w:w="2541"/>
        <w:gridCol w:w="2541"/>
      </w:tblGrid>
      <w:tr>
        <w:trPr>
          <w:tblHeader w:val="true"/>
          <w:cantSplit/>
        </w:trPr>
        <w:tc>
          <w:tcPr>
            <w:tcW w:type="dxa" w:w="2541"/>
            <w:shd w:fill="0090AE"/>
            <w:tcMar>
              <w:top w:w="90" w:type="dxa"/>
              <w:start w:w="110" w:type="dxa"/>
              <w:bottom w:w="90" w:type="dxa"/>
              <w:end w:w="110" w:type="dxa"/>
            </w:tcMar>
          </w:tcPr>
          <w:p>
            <w:r>
              <w:rPr>
                <w:b/>
                <w:color w:val="FFFFFF"/>
                <w:sz w:val="19"/>
              </w:rPr>
              <w:t>1. Something people notice</w:t>
            </w:r>
          </w:p>
        </w:tc>
        <w:tc>
          <w:tcPr>
            <w:tcW w:type="dxa" w:w="2541"/>
            <w:shd w:fill="0090AE"/>
            <w:tcMar>
              <w:top w:w="90" w:type="dxa"/>
              <w:start w:w="110" w:type="dxa"/>
              <w:bottom w:w="90" w:type="dxa"/>
              <w:end w:w="110" w:type="dxa"/>
            </w:tcMar>
          </w:tcPr>
          <w:p>
            <w:r>
              <w:rPr>
                <w:b/>
                <w:color w:val="FFFFFF"/>
                <w:sz w:val="19"/>
              </w:rPr>
              <w:t>2. Assumption added</w:t>
            </w:r>
          </w:p>
        </w:tc>
        <w:tc>
          <w:tcPr>
            <w:tcW w:type="dxa" w:w="2541"/>
            <w:shd w:fill="0090AE"/>
            <w:tcMar>
              <w:top w:w="90" w:type="dxa"/>
              <w:start w:w="110" w:type="dxa"/>
              <w:bottom w:w="90" w:type="dxa"/>
              <w:end w:w="110" w:type="dxa"/>
            </w:tcMar>
          </w:tcPr>
          <w:p>
            <w:r>
              <w:rPr>
                <w:b/>
                <w:color w:val="FFFFFF"/>
                <w:sz w:val="19"/>
              </w:rPr>
              <w:t>3. Rumour or label</w:t>
            </w:r>
          </w:p>
        </w:tc>
        <w:tc>
          <w:tcPr>
            <w:tcW w:type="dxa" w:w="2541"/>
            <w:shd w:fill="0090AE"/>
            <w:tcMar>
              <w:top w:w="90" w:type="dxa"/>
              <w:start w:w="110" w:type="dxa"/>
              <w:bottom w:w="90" w:type="dxa"/>
              <w:end w:w="110" w:type="dxa"/>
            </w:tcMar>
          </w:tcPr>
          <w:p>
            <w:r>
              <w:rPr>
                <w:b/>
                <w:color w:val="FFFFFF"/>
                <w:sz w:val="19"/>
              </w:rPr>
              <w:t>4. How others then behave</w:t>
            </w:r>
          </w:p>
        </w:tc>
      </w:tr>
      <w:tr>
        <w:trPr>
          <w:cantSplit/>
        </w:trPr>
        <w:tc>
          <w:tcPr>
            <w:tcW w:type="dxa" w:w="2541"/>
            <w:tcMar>
              <w:top w:w="90" w:type="dxa"/>
              <w:start w:w="110" w:type="dxa"/>
              <w:bottom w:w="90" w:type="dxa"/>
              <w:end w:w="110" w:type="dxa"/>
            </w:tcMar>
            <w:vAlign w:val="top"/>
          </w:tcPr>
          <w:p>
            <w:pPr>
              <w:spacing w:after="40"/>
            </w:pPr>
            <w:r>
              <w:rPr>
                <w:sz w:val="19"/>
              </w:rPr>
              <w:br/>
              <w:br/>
              <w:br/>
            </w:r>
          </w:p>
        </w:tc>
        <w:tc>
          <w:tcPr>
            <w:tcW w:type="dxa" w:w="2541"/>
            <w:tcMar>
              <w:top w:w="90" w:type="dxa"/>
              <w:start w:w="110" w:type="dxa"/>
              <w:bottom w:w="90" w:type="dxa"/>
              <w:end w:w="110" w:type="dxa"/>
            </w:tcMar>
            <w:vAlign w:val="top"/>
          </w:tcPr>
          <w:p>
            <w:pPr>
              <w:spacing w:after="40"/>
            </w:pPr>
            <w:r>
              <w:rPr>
                <w:sz w:val="19"/>
              </w:rPr>
              <w:br/>
              <w:br/>
              <w:br/>
            </w:r>
          </w:p>
        </w:tc>
        <w:tc>
          <w:tcPr>
            <w:tcW w:type="dxa" w:w="2541"/>
            <w:tcMar>
              <w:top w:w="90" w:type="dxa"/>
              <w:start w:w="110" w:type="dxa"/>
              <w:bottom w:w="90" w:type="dxa"/>
              <w:end w:w="110" w:type="dxa"/>
            </w:tcMar>
            <w:vAlign w:val="top"/>
          </w:tcPr>
          <w:p>
            <w:pPr>
              <w:spacing w:after="40"/>
            </w:pPr>
            <w:r>
              <w:rPr>
                <w:sz w:val="19"/>
              </w:rPr>
              <w:br/>
              <w:br/>
              <w:br/>
            </w:r>
          </w:p>
        </w:tc>
        <w:tc>
          <w:tcPr>
            <w:tcW w:type="dxa" w:w="2541"/>
            <w:tcMar>
              <w:top w:w="90" w:type="dxa"/>
              <w:start w:w="110" w:type="dxa"/>
              <w:bottom w:w="90" w:type="dxa"/>
              <w:end w:w="110" w:type="dxa"/>
            </w:tcMar>
            <w:vAlign w:val="top"/>
          </w:tcPr>
          <w:p>
            <w:pPr>
              <w:spacing w:after="40"/>
            </w:pPr>
            <w:r>
              <w:rPr>
                <w:sz w:val="19"/>
              </w:rPr>
              <w:br/>
              <w:br/>
              <w:br/>
            </w:r>
          </w:p>
        </w:tc>
      </w:tr>
    </w:tbl>
    <w:p>
      <w:pPr>
        <w:pStyle w:val="WorksheetPrompt"/>
      </w:pPr>
      <w:r>
        <w:t>How might the behaviour in column 4 make the person appear to confirm the original label?</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Heading1"/>
      </w:pPr>
      <w:r>
        <w:t>Activity 3 - Jamie revises his judgement</w:t>
      </w:r>
    </w:p>
    <w:tbl>
      <w:tblPr>
        <w:tblStyle w:val="TableGrid"/>
        <w:tblW w:type="auto" w:w="0"/>
        <w:jc w:val="center"/>
        <w:tblLayout w:type="autofit"/>
        <w:tblLook w:firstColumn="1" w:firstRow="1" w:lastColumn="0" w:lastRow="0" w:noHBand="0" w:noVBand="1" w:val="04A0"/>
        <w:tblBorders>
          <w:top w:val="single" w:sz="6" w:space="0" w:color="B8C3CF"/>
          <w:left w:val="single" w:sz="6" w:space="0" w:color="B8C3CF"/>
          <w:bottom w:val="single" w:sz="6" w:space="0" w:color="B8C3CF"/>
          <w:right w:val="single" w:sz="6" w:space="0" w:color="B8C3CF"/>
          <w:insideH w:val="single" w:sz="6" w:space="0" w:color="B8C3CF"/>
          <w:insideV w:val="single" w:sz="6" w:space="0" w:color="B8C3CF"/>
        </w:tblBorders>
      </w:tblPr>
      <w:tblGrid>
        <w:gridCol w:w="3389"/>
        <w:gridCol w:w="3389"/>
        <w:gridCol w:w="3389"/>
      </w:tblGrid>
      <w:tr>
        <w:trPr>
          <w:tblHeader w:val="true"/>
          <w:cantSplit/>
        </w:trPr>
        <w:tc>
          <w:tcPr>
            <w:tcW w:type="dxa" w:w="3389"/>
            <w:shd w:fill="0E223C"/>
            <w:tcMar>
              <w:top w:w="90" w:type="dxa"/>
              <w:start w:w="110" w:type="dxa"/>
              <w:bottom w:w="90" w:type="dxa"/>
              <w:end w:w="110" w:type="dxa"/>
            </w:tcMar>
          </w:tcPr>
          <w:p>
            <w:r>
              <w:rPr>
                <w:b/>
                <w:color w:val="FFFFFF"/>
                <w:sz w:val="18"/>
              </w:rPr>
              <w:t>Moment</w:t>
            </w:r>
          </w:p>
        </w:tc>
        <w:tc>
          <w:tcPr>
            <w:tcW w:type="dxa" w:w="3389"/>
            <w:shd w:fill="0E223C"/>
            <w:tcMar>
              <w:top w:w="90" w:type="dxa"/>
              <w:start w:w="110" w:type="dxa"/>
              <w:bottom w:w="90" w:type="dxa"/>
              <w:end w:w="110" w:type="dxa"/>
            </w:tcMar>
          </w:tcPr>
          <w:p>
            <w:r>
              <w:rPr>
                <w:b/>
                <w:color w:val="FFFFFF"/>
                <w:sz w:val="18"/>
              </w:rPr>
              <w:t>Question 1</w:t>
            </w:r>
          </w:p>
        </w:tc>
        <w:tc>
          <w:tcPr>
            <w:tcW w:type="dxa" w:w="3389"/>
            <w:shd w:fill="0E223C"/>
            <w:tcMar>
              <w:top w:w="90" w:type="dxa"/>
              <w:start w:w="110" w:type="dxa"/>
              <w:bottom w:w="90" w:type="dxa"/>
              <w:end w:w="110" w:type="dxa"/>
            </w:tcMar>
          </w:tcPr>
          <w:p>
            <w:r>
              <w:rPr>
                <w:b/>
                <w:color w:val="FFFFFF"/>
                <w:sz w:val="18"/>
              </w:rPr>
              <w:t>Question 2</w:t>
            </w:r>
          </w:p>
        </w:tc>
      </w:tr>
      <w:tr>
        <w:trPr>
          <w:cantSplit/>
        </w:trPr>
        <w:tc>
          <w:tcPr>
            <w:tcW w:type="dxa" w:w="3389"/>
            <w:tcMar>
              <w:top w:w="90" w:type="dxa"/>
              <w:start w:w="110" w:type="dxa"/>
              <w:bottom w:w="90" w:type="dxa"/>
              <w:end w:w="110" w:type="dxa"/>
            </w:tcMar>
            <w:vAlign w:val="top"/>
            <w:shd w:fill="E6F3F7"/>
          </w:tcPr>
          <w:p>
            <w:pPr>
              <w:spacing w:after="40"/>
            </w:pPr>
            <w:r>
              <w:rPr>
                <w:sz w:val="18"/>
              </w:rPr>
              <w:t>In English, Dan is isolated and singled out.</w:t>
            </w:r>
          </w:p>
        </w:tc>
        <w:tc>
          <w:tcPr>
            <w:tcW w:type="dxa" w:w="3389"/>
            <w:tcMar>
              <w:top w:w="90" w:type="dxa"/>
              <w:start w:w="110" w:type="dxa"/>
              <w:bottom w:w="90" w:type="dxa"/>
              <w:end w:w="110" w:type="dxa"/>
            </w:tcMar>
            <w:vAlign w:val="top"/>
          </w:tcPr>
          <w:p>
            <w:pPr>
              <w:spacing w:after="40"/>
            </w:pPr>
            <w:r>
              <w:rPr>
                <w:sz w:val="18"/>
              </w:rPr>
              <w:t>What might Jamie assume?</w:t>
            </w:r>
          </w:p>
        </w:tc>
        <w:tc>
          <w:tcPr>
            <w:tcW w:type="dxa" w:w="3389"/>
            <w:tcMar>
              <w:top w:w="90" w:type="dxa"/>
              <w:start w:w="110" w:type="dxa"/>
              <w:bottom w:w="90" w:type="dxa"/>
              <w:end w:w="110" w:type="dxa"/>
            </w:tcMar>
            <w:vAlign w:val="top"/>
          </w:tcPr>
          <w:p>
            <w:pPr>
              <w:spacing w:after="40"/>
            </w:pPr>
            <w:r>
              <w:rPr>
                <w:sz w:val="18"/>
              </w:rPr>
              <w:t>What evidence should make him cautious?</w:t>
            </w:r>
          </w:p>
        </w:tc>
      </w:tr>
      <w:tr>
        <w:trPr>
          <w:cantSplit/>
        </w:trPr>
        <w:tc>
          <w:tcPr>
            <w:tcW w:type="dxa" w:w="3389"/>
            <w:tcMar>
              <w:top w:w="90" w:type="dxa"/>
              <w:start w:w="110" w:type="dxa"/>
              <w:bottom w:w="90" w:type="dxa"/>
              <w:end w:w="110" w:type="dxa"/>
            </w:tcMar>
            <w:vAlign w:val="top"/>
            <w:shd w:fill="E6F3F7"/>
          </w:tcPr>
          <w:p>
            <w:pPr>
              <w:spacing w:after="40"/>
            </w:pPr>
            <w:r>
              <w:rPr>
                <w:sz w:val="18"/>
              </w:rPr>
              <w:t>Jamie points out the answer with his ruler.</w:t>
            </w:r>
          </w:p>
        </w:tc>
        <w:tc>
          <w:tcPr>
            <w:tcW w:type="dxa" w:w="3389"/>
            <w:tcMar>
              <w:top w:w="90" w:type="dxa"/>
              <w:start w:w="110" w:type="dxa"/>
              <w:bottom w:w="90" w:type="dxa"/>
              <w:end w:w="110" w:type="dxa"/>
            </w:tcMar>
            <w:vAlign w:val="top"/>
          </w:tcPr>
          <w:p>
            <w:pPr>
              <w:spacing w:after="40"/>
            </w:pPr>
            <w:r>
              <w:rPr>
                <w:sz w:val="18"/>
              </w:rPr>
              <w:t>What does this small act communicate?</w:t>
            </w:r>
          </w:p>
        </w:tc>
        <w:tc>
          <w:tcPr>
            <w:tcW w:type="dxa" w:w="3389"/>
            <w:tcMar>
              <w:top w:w="90" w:type="dxa"/>
              <w:start w:w="110" w:type="dxa"/>
              <w:bottom w:w="90" w:type="dxa"/>
              <w:end w:w="110" w:type="dxa"/>
            </w:tcMar>
            <w:vAlign w:val="top"/>
          </w:tcPr>
          <w:p>
            <w:pPr>
              <w:spacing w:after="40"/>
            </w:pPr>
            <w:r>
              <w:rPr>
                <w:sz w:val="18"/>
              </w:rPr>
              <w:t>How might Dan interpret it?</w:t>
            </w:r>
          </w:p>
        </w:tc>
      </w:tr>
      <w:tr>
        <w:trPr>
          <w:cantSplit/>
        </w:trPr>
        <w:tc>
          <w:tcPr>
            <w:tcW w:type="dxa" w:w="3389"/>
            <w:tcMar>
              <w:top w:w="90" w:type="dxa"/>
              <w:start w:w="110" w:type="dxa"/>
              <w:bottom w:w="90" w:type="dxa"/>
              <w:end w:w="110" w:type="dxa"/>
            </w:tcMar>
            <w:vAlign w:val="top"/>
            <w:shd w:fill="E6F3F7"/>
          </w:tcPr>
          <w:p>
            <w:pPr>
              <w:spacing w:after="40"/>
            </w:pPr>
            <w:r>
              <w:rPr>
                <w:sz w:val="18"/>
              </w:rPr>
              <w:t>Dan intervenes in the alley.</w:t>
            </w:r>
          </w:p>
        </w:tc>
        <w:tc>
          <w:tcPr>
            <w:tcW w:type="dxa" w:w="3389"/>
            <w:tcMar>
              <w:top w:w="90" w:type="dxa"/>
              <w:start w:w="110" w:type="dxa"/>
              <w:bottom w:w="90" w:type="dxa"/>
              <w:end w:w="110" w:type="dxa"/>
            </w:tcMar>
            <w:vAlign w:val="top"/>
          </w:tcPr>
          <w:p>
            <w:pPr>
              <w:spacing w:after="40"/>
            </w:pPr>
            <w:r>
              <w:rPr>
                <w:sz w:val="18"/>
              </w:rPr>
              <w:t>What new qualities become visible?</w:t>
            </w:r>
          </w:p>
        </w:tc>
        <w:tc>
          <w:tcPr>
            <w:tcW w:type="dxa" w:w="3389"/>
            <w:tcMar>
              <w:top w:w="90" w:type="dxa"/>
              <w:start w:w="110" w:type="dxa"/>
              <w:bottom w:w="90" w:type="dxa"/>
              <w:end w:w="110" w:type="dxa"/>
            </w:tcMar>
            <w:vAlign w:val="top"/>
          </w:tcPr>
          <w:p>
            <w:pPr>
              <w:spacing w:after="40"/>
            </w:pPr>
            <w:r>
              <w:rPr>
                <w:sz w:val="18"/>
              </w:rPr>
              <w:t>Why is refusing to retaliate important?</w:t>
            </w:r>
          </w:p>
        </w:tc>
      </w:tr>
      <w:tr>
        <w:trPr>
          <w:cantSplit/>
        </w:trPr>
        <w:tc>
          <w:tcPr>
            <w:tcW w:type="dxa" w:w="3389"/>
            <w:tcMar>
              <w:top w:w="90" w:type="dxa"/>
              <w:start w:w="110" w:type="dxa"/>
              <w:bottom w:w="90" w:type="dxa"/>
              <w:end w:w="110" w:type="dxa"/>
            </w:tcMar>
            <w:vAlign w:val="top"/>
            <w:shd w:fill="E6F3F7"/>
          </w:tcPr>
          <w:p>
            <w:pPr>
              <w:spacing w:after="40"/>
            </w:pPr>
            <w:r>
              <w:rPr>
                <w:sz w:val="18"/>
              </w:rPr>
              <w:t>At Patel's shop, Dan accepts help quietly.</w:t>
            </w:r>
          </w:p>
        </w:tc>
        <w:tc>
          <w:tcPr>
            <w:tcW w:type="dxa" w:w="3389"/>
            <w:tcMar>
              <w:top w:w="90" w:type="dxa"/>
              <w:start w:w="110" w:type="dxa"/>
              <w:bottom w:w="90" w:type="dxa"/>
              <w:end w:w="110" w:type="dxa"/>
            </w:tcMar>
            <w:vAlign w:val="top"/>
          </w:tcPr>
          <w:p>
            <w:pPr>
              <w:spacing w:after="40"/>
            </w:pPr>
            <w:r>
              <w:rPr>
                <w:sz w:val="18"/>
              </w:rPr>
              <w:t>What does this reveal?</w:t>
            </w:r>
          </w:p>
        </w:tc>
        <w:tc>
          <w:tcPr>
            <w:tcW w:type="dxa" w:w="3389"/>
            <w:tcMar>
              <w:top w:w="90" w:type="dxa"/>
              <w:start w:w="110" w:type="dxa"/>
              <w:bottom w:w="90" w:type="dxa"/>
              <w:end w:w="110" w:type="dxa"/>
            </w:tcMar>
            <w:vAlign w:val="top"/>
          </w:tcPr>
          <w:p>
            <w:pPr>
              <w:spacing w:after="40"/>
            </w:pPr>
            <w:r>
              <w:rPr>
                <w:sz w:val="18"/>
              </w:rPr>
              <w:t>What questions should remain private or sensitive?</w:t>
            </w:r>
          </w:p>
        </w:tc>
      </w:tr>
      <w:tr>
        <w:trPr>
          <w:cantSplit/>
        </w:trPr>
        <w:tc>
          <w:tcPr>
            <w:tcW w:type="dxa" w:w="3389"/>
            <w:tcMar>
              <w:top w:w="90" w:type="dxa"/>
              <w:start w:w="110" w:type="dxa"/>
              <w:bottom w:w="90" w:type="dxa"/>
              <w:end w:w="110" w:type="dxa"/>
            </w:tcMar>
            <w:vAlign w:val="top"/>
            <w:shd w:fill="E6F3F7"/>
          </w:tcPr>
          <w:p>
            <w:pPr>
              <w:spacing w:after="40"/>
            </w:pPr>
            <w:r>
              <w:rPr>
                <w:sz w:val="18"/>
              </w:rPr>
              <w:t>In Myridiam, Dan becomes the Guardian.</w:t>
            </w:r>
          </w:p>
        </w:tc>
        <w:tc>
          <w:tcPr>
            <w:tcW w:type="dxa" w:w="3389"/>
            <w:tcMar>
              <w:top w:w="90" w:type="dxa"/>
              <w:start w:w="110" w:type="dxa"/>
              <w:bottom w:w="90" w:type="dxa"/>
              <w:end w:w="110" w:type="dxa"/>
            </w:tcMar>
            <w:vAlign w:val="top"/>
          </w:tcPr>
          <w:p>
            <w:pPr>
              <w:spacing w:after="40"/>
            </w:pPr>
            <w:r>
              <w:rPr>
                <w:sz w:val="18"/>
              </w:rPr>
              <w:t>Does the role change him or reveal him?</w:t>
            </w:r>
          </w:p>
        </w:tc>
        <w:tc>
          <w:tcPr>
            <w:tcW w:type="dxa" w:w="3389"/>
            <w:tcMar>
              <w:top w:w="90" w:type="dxa"/>
              <w:start w:w="110" w:type="dxa"/>
              <w:bottom w:w="90" w:type="dxa"/>
              <w:end w:w="110" w:type="dxa"/>
            </w:tcMar>
            <w:vAlign w:val="top"/>
          </w:tcPr>
          <w:p>
            <w:pPr>
              <w:spacing w:after="40"/>
            </w:pPr>
            <w:r>
              <w:rPr>
                <w:sz w:val="18"/>
              </w:rPr>
              <w:t>Give evidence.</w:t>
            </w:r>
          </w:p>
        </w:tc>
      </w:tr>
    </w:tbl>
    <w:p>
      <w:r>
        <w:br w:type="page"/>
      </w:r>
    </w:p>
    <w:p>
      <w:pPr>
        <w:pStyle w:val="Heading1"/>
      </w:pPr>
      <w:r>
        <w:t>Activity 4 - Fairer language</w:t>
      </w:r>
    </w:p>
    <w:p>
      <w:r>
        <w:t>Rewrite each unfair or absolute statement so that it becomes evidence-based, specific and open to revision.</w:t>
      </w:r>
    </w:p>
    <w:p>
      <w:pPr>
        <w:pStyle w:val="WorksheetPrompt"/>
      </w:pPr>
      <w:r>
        <w:t>Unfair statement: Dan is trouble.</w:t>
      </w:r>
    </w:p>
    <w:p>
      <w:pPr>
        <w:pStyle w:val="WorksheetPrompt"/>
      </w:pPr>
      <w:r>
        <w:t>Fairer version:</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WorksheetPrompt"/>
      </w:pPr>
      <w:r>
        <w:t>Unfair statement: Jamie is antisocial.</w:t>
      </w:r>
    </w:p>
    <w:p>
      <w:pPr>
        <w:pStyle w:val="WorksheetPrompt"/>
      </w:pPr>
      <w:r>
        <w:t>Fairer version:</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WorksheetPrompt"/>
      </w:pPr>
      <w:r>
        <w:t>Unfair statement: Lakshmi is a know-it-all.</w:t>
      </w:r>
    </w:p>
    <w:p>
      <w:pPr>
        <w:pStyle w:val="WorksheetPrompt"/>
      </w:pPr>
      <w:r>
        <w:t>Fairer version:</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WorksheetPrompt"/>
      </w:pPr>
      <w:r>
        <w:t>Unfair statement: The Reptoids are all the same.</w:t>
      </w:r>
    </w:p>
    <w:p>
      <w:pPr>
        <w:pStyle w:val="WorksheetPrompt"/>
      </w:pPr>
      <w:r>
        <w:t>Fairer version:</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WorksheetPrompt"/>
      </w:pPr>
      <w:r>
        <w:t>Unfair statement: Someone who stays quiet has nothing to say.</w:t>
      </w:r>
    </w:p>
    <w:p>
      <w:pPr>
        <w:pStyle w:val="WorksheetPrompt"/>
      </w:pPr>
      <w:r>
        <w:t>Fairer version:</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Heading1"/>
      </w:pPr>
      <w:r>
        <w:t>Activity 5 - When adults misjudge</w:t>
      </w:r>
    </w:p>
    <w:p>
      <w:pPr>
        <w:pStyle w:val="WorksheetPrompt"/>
      </w:pPr>
      <w:r>
        <w:t>How does Mr Reeves' treatment of Dan influence the class?</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WorksheetPrompt"/>
      </w:pPr>
      <w:r>
        <w:t>Why is it especially damaging when an adult appears to confirm a rumour?</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WorksheetPrompt"/>
      </w:pPr>
      <w:r>
        <w:t>What could a fair teacher do differently while still maintaining expectations for everyone?</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Heading1"/>
      </w:pPr>
      <w:r>
        <w:t>Activity 6 - Wider assumptions in Myridiam</w:t>
      </w:r>
    </w:p>
    <w:p>
      <w:r>
        <w:t>The novel also shows mistrust between peoples and territories. Choose one encounter or claim and examine it.</w:t>
      </w:r>
    </w:p>
    <w:tbl>
      <w:tblPr>
        <w:tblStyle w:val="TableGrid"/>
        <w:tblW w:type="auto" w:w="0"/>
        <w:jc w:val="center"/>
        <w:tblLayout w:type="autofit"/>
        <w:tblLook w:firstColumn="1" w:firstRow="1" w:lastColumn="0" w:lastRow="0" w:noHBand="0" w:noVBand="1" w:val="04A0"/>
        <w:tblBorders>
          <w:top w:val="single" w:sz="6" w:space="0" w:color="B8C3CF"/>
          <w:left w:val="single" w:sz="6" w:space="0" w:color="B8C3CF"/>
          <w:bottom w:val="single" w:sz="6" w:space="0" w:color="B8C3CF"/>
          <w:right w:val="single" w:sz="6" w:space="0" w:color="B8C3CF"/>
          <w:insideH w:val="single" w:sz="6" w:space="0" w:color="B8C3CF"/>
          <w:insideV w:val="single" w:sz="6" w:space="0" w:color="B8C3CF"/>
        </w:tblBorders>
      </w:tblPr>
      <w:tblGrid>
        <w:gridCol w:w="2541"/>
        <w:gridCol w:w="2541"/>
        <w:gridCol w:w="2541"/>
        <w:gridCol w:w="2541"/>
      </w:tblGrid>
      <w:tr>
        <w:trPr>
          <w:tblHeader w:val="true"/>
          <w:cantSplit/>
        </w:trPr>
        <w:tc>
          <w:tcPr>
            <w:tcW w:type="dxa" w:w="2541"/>
            <w:shd w:fill="0090AE"/>
            <w:tcMar>
              <w:top w:w="90" w:type="dxa"/>
              <w:start w:w="110" w:type="dxa"/>
              <w:bottom w:w="90" w:type="dxa"/>
              <w:end w:w="110" w:type="dxa"/>
            </w:tcMar>
          </w:tcPr>
          <w:p>
            <w:r>
              <w:rPr>
                <w:b/>
                <w:color w:val="FFFFFF"/>
                <w:sz w:val="19"/>
              </w:rPr>
              <w:t>Assumption or stereotype</w:t>
            </w:r>
          </w:p>
        </w:tc>
        <w:tc>
          <w:tcPr>
            <w:tcW w:type="dxa" w:w="2541"/>
            <w:shd w:fill="0090AE"/>
            <w:tcMar>
              <w:top w:w="90" w:type="dxa"/>
              <w:start w:w="110" w:type="dxa"/>
              <w:bottom w:w="90" w:type="dxa"/>
              <w:end w:w="110" w:type="dxa"/>
            </w:tcMar>
          </w:tcPr>
          <w:p>
            <w:r>
              <w:rPr>
                <w:b/>
                <w:color w:val="FFFFFF"/>
                <w:sz w:val="19"/>
              </w:rPr>
              <w:t>Evidence supporting it</w:t>
            </w:r>
          </w:p>
        </w:tc>
        <w:tc>
          <w:tcPr>
            <w:tcW w:type="dxa" w:w="2541"/>
            <w:shd w:fill="0090AE"/>
            <w:tcMar>
              <w:top w:w="90" w:type="dxa"/>
              <w:start w:w="110" w:type="dxa"/>
              <w:bottom w:w="90" w:type="dxa"/>
              <w:end w:w="110" w:type="dxa"/>
            </w:tcMar>
          </w:tcPr>
          <w:p>
            <w:r>
              <w:rPr>
                <w:b/>
                <w:color w:val="FFFFFF"/>
                <w:sz w:val="19"/>
              </w:rPr>
              <w:t>Evidence complicating it</w:t>
            </w:r>
          </w:p>
        </w:tc>
        <w:tc>
          <w:tcPr>
            <w:tcW w:type="dxa" w:w="2541"/>
            <w:shd w:fill="0090AE"/>
            <w:tcMar>
              <w:top w:w="90" w:type="dxa"/>
              <w:start w:w="110" w:type="dxa"/>
              <w:bottom w:w="90" w:type="dxa"/>
              <w:end w:w="110" w:type="dxa"/>
            </w:tcMar>
          </w:tcPr>
          <w:p>
            <w:r>
              <w:rPr>
                <w:b/>
                <w:color w:val="FFFFFF"/>
                <w:sz w:val="19"/>
              </w:rPr>
              <w:t>A fairer conclusion</w:t>
            </w:r>
          </w:p>
        </w:tc>
      </w:tr>
      <w:tr>
        <w:trPr>
          <w:cantSplit/>
        </w:trPr>
        <w:tc>
          <w:tcPr>
            <w:tcW w:type="dxa" w:w="2541"/>
            <w:tcMar>
              <w:top w:w="90" w:type="dxa"/>
              <w:start w:w="110" w:type="dxa"/>
              <w:bottom w:w="90" w:type="dxa"/>
              <w:end w:w="110" w:type="dxa"/>
            </w:tcMar>
            <w:vAlign w:val="top"/>
          </w:tcPr>
          <w:p>
            <w:pPr>
              <w:spacing w:after="40"/>
            </w:pPr>
            <w:r>
              <w:rPr>
                <w:sz w:val="19"/>
              </w:rPr>
              <w:br/>
              <w:br/>
              <w:br/>
            </w:r>
          </w:p>
        </w:tc>
        <w:tc>
          <w:tcPr>
            <w:tcW w:type="dxa" w:w="2541"/>
            <w:tcMar>
              <w:top w:w="90" w:type="dxa"/>
              <w:start w:w="110" w:type="dxa"/>
              <w:bottom w:w="90" w:type="dxa"/>
              <w:end w:w="110" w:type="dxa"/>
            </w:tcMar>
            <w:vAlign w:val="top"/>
          </w:tcPr>
          <w:p>
            <w:pPr>
              <w:spacing w:after="40"/>
            </w:pPr>
            <w:r>
              <w:rPr>
                <w:sz w:val="19"/>
              </w:rPr>
              <w:br/>
              <w:br/>
              <w:br/>
            </w:r>
          </w:p>
        </w:tc>
        <w:tc>
          <w:tcPr>
            <w:tcW w:type="dxa" w:w="2541"/>
            <w:tcMar>
              <w:top w:w="90" w:type="dxa"/>
              <w:start w:w="110" w:type="dxa"/>
              <w:bottom w:w="90" w:type="dxa"/>
              <w:end w:w="110" w:type="dxa"/>
            </w:tcMar>
            <w:vAlign w:val="top"/>
          </w:tcPr>
          <w:p>
            <w:pPr>
              <w:spacing w:after="40"/>
            </w:pPr>
            <w:r>
              <w:rPr>
                <w:sz w:val="19"/>
              </w:rPr>
              <w:br/>
              <w:br/>
              <w:br/>
            </w:r>
          </w:p>
        </w:tc>
        <w:tc>
          <w:tcPr>
            <w:tcW w:type="dxa" w:w="2541"/>
            <w:tcMar>
              <w:top w:w="90" w:type="dxa"/>
              <w:start w:w="110" w:type="dxa"/>
              <w:bottom w:w="90" w:type="dxa"/>
              <w:end w:w="110" w:type="dxa"/>
            </w:tcMar>
            <w:vAlign w:val="top"/>
          </w:tcPr>
          <w:p>
            <w:pPr>
              <w:spacing w:after="40"/>
            </w:pPr>
            <w:r>
              <w:rPr>
                <w:sz w:val="19"/>
              </w:rPr>
              <w:br/>
              <w:br/>
              <w:br/>
            </w:r>
          </w:p>
        </w:tc>
      </w:tr>
    </w:tbl>
    <w:p>
      <w:pPr>
        <w:pStyle w:val="Heading1"/>
      </w:pPr>
      <w:r>
        <w:t>Final reflection</w:t>
      </w:r>
    </w:p>
    <w:p>
      <w:pPr>
        <w:pStyle w:val="WorksheetPrompt"/>
      </w:pPr>
      <w:r>
        <w:t>What is the difference between being careful and being prejudiced?</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WorksheetPrompt"/>
      </w:pPr>
      <w:r>
        <w:t>What practical action can interrupt a cycle of rumour and exclusion?</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keepLines/>
        <w:spacing w:after="40"/>
      </w:pPr>
      <w:r>
        <w:t>____________________________________________________________________________________________</w:t>
      </w:r>
    </w:p>
    <w:p>
      <w:pPr>
        <w:pStyle w:val="Heading1"/>
        <w:pageBreakBefore/>
      </w:pPr>
      <w:r>
        <w:t>Teacher notes and suggested discussion points</w:t>
      </w:r>
    </w:p>
    <w:tbl>
      <w:tblPr>
        <w:tblW w:type="auto" w:w="0"/>
        <w:jc w:val="center"/>
        <w:tblLayout w:type="autofit"/>
        <w:tblLook w:firstColumn="1" w:firstRow="1" w:lastColumn="0" w:lastRow="0" w:noHBand="0" w:noVBand="1" w:val="04A0"/>
      </w:tblPr>
      <w:tblGrid>
        <w:gridCol w:w="10166"/>
      </w:tblGrid>
      <w:tr>
        <w:tc>
          <w:tcPr>
            <w:tcW w:type="dxa" w:w="10166"/>
            <w:shd w:fill="FFF6DF"/>
            <w:tcMar>
              <w:top w:w="130" w:type="dxa"/>
              <w:start w:w="160" w:type="dxa"/>
              <w:bottom w:w="130" w:type="dxa"/>
              <w:end w:w="160" w:type="dxa"/>
            </w:tcMar>
          </w:tcPr>
          <w:p>
            <w:pPr>
              <w:pStyle w:val="Heading3"/>
              <w:spacing w:before="0" w:after="60"/>
            </w:pPr>
            <w:r>
              <w:t>Use flexibly</w:t>
            </w:r>
          </w:p>
          <w:p>
            <w:pPr>
              <w:spacing w:after="0"/>
            </w:pPr>
            <w:r>
              <w:t>These notes identify useful evidence and possible interpretations. They are not model answers that readers must reproduce. Reward thoughtful alternatives supported by the novel.</w:t>
            </w:r>
          </w:p>
        </w:tc>
      </w:tr>
    </w:tbl>
    <w:p>
      <w:pPr>
        <w:spacing w:after="0"/>
      </w:pPr>
    </w:p>
    <w:p>
      <w:pPr>
        <w:pStyle w:val="Heading2"/>
      </w:pPr>
      <w:r>
        <w:t>Core learning</w:t>
      </w:r>
    </w:p>
    <w:p>
      <w:pPr>
        <w:pStyle w:val="ListBullet"/>
        <w:spacing w:after="60"/>
      </w:pPr>
      <w:r>
        <w:t>Readers should distinguish evidence from interpretation and acknowledge uncertainty.</w:t>
      </w:r>
    </w:p>
    <w:p>
      <w:pPr>
        <w:pStyle w:val="ListBullet"/>
        <w:spacing w:after="60"/>
      </w:pPr>
      <w:r>
        <w:t>Dan's actions complicate the school label: he protects Jamie, exercises restraint and later protects civilians.</w:t>
      </w:r>
    </w:p>
    <w:p>
      <w:pPr>
        <w:pStyle w:val="ListBullet"/>
        <w:spacing w:after="60"/>
      </w:pPr>
      <w:r>
        <w:t>Jamie is not instantly free from assumptions; his understanding changes through attention and shared experience.</w:t>
      </w:r>
    </w:p>
    <w:p>
      <w:pPr>
        <w:pStyle w:val="ListBullet"/>
        <w:spacing w:after="60"/>
      </w:pPr>
      <w:r>
        <w:t>The novel allows discussion of institutional reinforcement: classmates take cues from a teacher's dismissive treatment.</w:t>
      </w:r>
    </w:p>
    <w:p>
      <w:pPr>
        <w:pStyle w:val="Heading2"/>
      </w:pPr>
      <w:r>
        <w:t>Discussion safeguards</w:t>
      </w:r>
    </w:p>
    <w:p>
      <w:pPr>
        <w:pStyle w:val="ListBullet"/>
        <w:spacing w:after="60"/>
      </w:pPr>
      <w:r>
        <w:t>Do not ask pupils to identify real classmates who resemble Dan or to disclose experiences of abuse or bullying.</w:t>
      </w:r>
    </w:p>
    <w:p>
      <w:pPr>
        <w:pStyle w:val="ListBullet"/>
        <w:spacing w:after="60"/>
      </w:pPr>
      <w:r>
        <w:t>Keep focus on fictional evidence and general principles: fairness, verification, bystander choices and respectful language.</w:t>
      </w:r>
    </w:p>
    <w:p>
      <w:pPr>
        <w:pStyle w:val="ListBullet"/>
        <w:spacing w:after="60"/>
      </w:pPr>
      <w:r>
        <w:t>Acknowledge that caution can be reasonable when based on behaviour, but labels become unfair when they erase individuality or resist new evidence.</w:t>
      </w:r>
    </w:p>
    <w:p>
      <w:pPr>
        <w:pStyle w:val="Heading2"/>
      </w:pPr>
      <w:r>
        <w:t>Extension</w:t>
      </w:r>
    </w:p>
    <w:p>
      <w:r>
        <w:t>Compare the early assumptions about Dan with assumptions between the Khitari, Sothians and Reptoids. Ask whether conflict makes generalisation more understandable, more dangerous or both.</w:t>
      </w:r>
    </w:p>
    <w:sectPr w:rsidR="00FC693F" w:rsidRPr="0006063C" w:rsidSect="00034616">
      <w:headerReference w:type="default" r:id="rId9"/>
      <w:footerReference w:type="default" r:id="rId10"/>
      <w:pgSz w:w="12240" w:h="15840"/>
      <w:pgMar w:top="936"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5606E"/>
        <w:sz w:val="15"/>
      </w:rPr>
      <w:t>Jamie Cooper and the Touchscreen Portal | www.jpharper.com</w:t>
      <w:br/>
      <w:t>May be copied for non-commercial educational use.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5606E"/>
        <w:sz w:val="16"/>
      </w:rPr>
      <w:t>J P Harper | Educator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ptos Display" w:hAnsi="Aptos Display"/>
      <w:b/>
      <w:bCs/>
      <w:color w:val="0E223C"/>
      <w:sz w:val="34"/>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0090AE"/>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0E223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b/>
      <w:color w:val="0E223C"/>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ptos" w:hAnsi="Aptos"/>
      <w:b w:val="0"/>
      <w:i/>
      <w:iCs/>
      <w:color w:val="55606E"/>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160" w:line="276" w:lineRule="auto"/>
    </w:pPr>
    <w:rPr>
      <w:rFonts w:ascii="Aptos" w:hAnsi="Aptos"/>
      <w:color w:val="0E223C"/>
      <w:sz w:val="23"/>
    </w:rPr>
  </w:style>
  <w:style w:type="paragraph" w:customStyle="1" w:styleId="SmallNote">
    <w:name w:val="Small Note"/>
    <w:pPr>
      <w:spacing w:after="60"/>
    </w:pPr>
    <w:rPr>
      <w:rFonts w:ascii="Aptos" w:hAnsi="Aptos"/>
      <w:color w:val="55606E"/>
      <w:sz w:val="17"/>
    </w:rPr>
  </w:style>
  <w:style w:type="paragraph" w:customStyle="1" w:styleId="WorksheetPrompt">
    <w:name w:val="Worksheet Prompt"/>
    <w:pPr>
      <w:keepNext/>
      <w:spacing w:before="120" w:after="60"/>
    </w:pPr>
    <w:rPr>
      <w:rFonts w:ascii="Aptos" w:hAnsi="Aptos"/>
      <w:b/>
      <w:color w:val="0E223C"/>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