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Reading Schedule</w:t>
      </w:r>
    </w:p>
    <w:p>
      <w:pPr>
        <w:pStyle w:val="Subtitle"/>
        <w:jc w:val="center"/>
      </w:pPr>
      <w:r>
        <w:t>Flexible plans for guided reading, book clubs and independent readers aged 9-14</w:t>
      </w:r>
    </w:p>
    <w:p>
      <w:pPr>
        <w:pBdr>
          <w:bottom w:val="single" w:sz="18" w:space="1" w:color="0090AE"/>
        </w:pBdr>
      </w:pPr>
    </w:p>
    <w:p>
      <w:pPr>
        <w:jc w:val="center"/>
      </w:pPr>
      <w:r>
        <w:drawing>
          <wp:inline xmlns:a="http://schemas.openxmlformats.org/drawingml/2006/main" xmlns:pic="http://schemas.openxmlformats.org/drawingml/2006/picture">
            <wp:extent cx="1965960" cy="29489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1965960" cy="2948940"/>
                    </a:xfrm>
                    <a:prstGeom prst="rect"/>
                  </pic:spPr>
                </pic:pic>
              </a:graphicData>
            </a:graphic>
          </wp:inline>
        </w:drawing>
      </w:r>
    </w:p>
    <w:p>
      <w:pPr>
        <w:pStyle w:val="SmallNote"/>
        <w:jc w:val="center"/>
      </w:pPr>
      <w:r>
        <w:t>Jamie Cooper and the Touchscreen Portal | The Gateway Saga - Book One | J P Harper</w:t>
      </w:r>
    </w:p>
    <w:p/>
    <w:tbl>
      <w:tblPr>
        <w:tblW w:type="auto" w:w="0"/>
        <w:jc w:val="center"/>
        <w:tblLook w:firstColumn="1" w:firstRow="1" w:lastColumn="0" w:lastRow="0" w:noHBand="0" w:noVBand="1" w:val="04A0"/>
      </w:tblPr>
      <w:tblGrid>
        <w:gridCol w:w="10166"/>
      </w:tblGrid>
      <w:tr>
        <w:tc>
          <w:tcPr>
            <w:tcW w:type="dxa" w:w="10166"/>
            <w:shd w:fill="EAF5F8"/>
            <w:tcMar>
              <w:top w:w="135" w:type="dxa"/>
              <w:start w:w="165" w:type="dxa"/>
              <w:bottom w:w="135" w:type="dxa"/>
              <w:end w:w="165" w:type="dxa"/>
            </w:tcMar>
          </w:tcPr>
          <w:p>
            <w:pPr>
              <w:spacing w:after="60"/>
            </w:pPr>
            <w:r>
              <w:rPr>
                <w:b/>
                <w:color w:val="0E223C"/>
                <w:sz w:val="22"/>
              </w:rPr>
              <w:t>How to use this resource</w:t>
            </w:r>
          </w:p>
          <w:p>
            <w:pPr>
              <w:spacing w:after="0"/>
            </w:pPr>
            <w:r>
              <w:t>Choose the pace that suits your readers. The recommended plan uses ten sessions of two chapters each, but the same novel can be read over five weeks, twenty shorter sessions or a flexible independent schedule.</w:t>
            </w:r>
          </w:p>
        </w:tc>
      </w:tr>
    </w:tbl>
    <w:p>
      <w:pPr>
        <w:spacing w:after="0"/>
      </w:pPr>
    </w:p>
    <w:p>
      <w:r>
        <w:br w:type="page"/>
      </w:r>
    </w:p>
    <w:p>
      <w:pPr>
        <w:pStyle w:val="Heading1"/>
      </w:pPr>
      <w:r>
        <w:t>1. At a glance</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90" w:type="dxa"/>
              <w:start w:w="120" w:type="dxa"/>
              <w:bottom w:w="90" w:type="dxa"/>
              <w:end w:w="120" w:type="dxa"/>
            </w:tcMar>
          </w:tcPr>
          <w:p>
            <w:r>
              <w:rPr>
                <w:b/>
                <w:color w:val="FFFFFF"/>
              </w:rPr>
              <w:t>Item</w:t>
            </w:r>
          </w:p>
        </w:tc>
        <w:tc>
          <w:tcPr>
            <w:tcW w:type="dxa" w:w="5083"/>
            <w:shd w:fill="0E223C"/>
            <w:tcMar>
              <w:top w:w="90" w:type="dxa"/>
              <w:start w:w="120" w:type="dxa"/>
              <w:bottom w:w="90" w:type="dxa"/>
              <w:end w:w="120" w:type="dxa"/>
            </w:tcMar>
          </w:tcPr>
          <w:p>
            <w:r>
              <w:rPr>
                <w:b/>
                <w:color w:val="FFFFFF"/>
              </w:rPr>
              <w:t>Details</w:t>
            </w:r>
          </w:p>
        </w:tc>
      </w:tr>
      <w:tr>
        <w:tc>
          <w:tcPr>
            <w:tcW w:type="dxa" w:w="5083"/>
            <w:tcMar>
              <w:top w:w="90" w:type="dxa"/>
              <w:start w:w="120" w:type="dxa"/>
              <w:bottom w:w="90" w:type="dxa"/>
              <w:end w:w="120" w:type="dxa"/>
            </w:tcMar>
            <w:vAlign w:val="center"/>
            <w:shd w:fill="F3F5F7"/>
          </w:tcPr>
          <w:p>
            <w:r>
              <w:t>Total chapters</w:t>
            </w:r>
          </w:p>
        </w:tc>
        <w:tc>
          <w:tcPr>
            <w:tcW w:type="dxa" w:w="5083"/>
            <w:tcMar>
              <w:top w:w="90" w:type="dxa"/>
              <w:start w:w="120" w:type="dxa"/>
              <w:bottom w:w="90" w:type="dxa"/>
              <w:end w:w="120" w:type="dxa"/>
            </w:tcMar>
            <w:vAlign w:val="center"/>
          </w:tcPr>
          <w:p>
            <w:r>
              <w:t>20</w:t>
            </w:r>
          </w:p>
        </w:tc>
      </w:tr>
      <w:tr>
        <w:tc>
          <w:tcPr>
            <w:tcW w:type="dxa" w:w="5083"/>
            <w:tcMar>
              <w:top w:w="90" w:type="dxa"/>
              <w:start w:w="120" w:type="dxa"/>
              <w:bottom w:w="90" w:type="dxa"/>
              <w:end w:w="120" w:type="dxa"/>
            </w:tcMar>
            <w:vAlign w:val="center"/>
            <w:shd w:fill="F3F5F7"/>
          </w:tcPr>
          <w:p>
            <w:r>
              <w:t>Recommended core pace</w:t>
            </w:r>
          </w:p>
        </w:tc>
        <w:tc>
          <w:tcPr>
            <w:tcW w:type="dxa" w:w="5083"/>
            <w:tcMar>
              <w:top w:w="90" w:type="dxa"/>
              <w:start w:w="120" w:type="dxa"/>
              <w:bottom w:w="90" w:type="dxa"/>
              <w:end w:w="120" w:type="dxa"/>
            </w:tcMar>
            <w:vAlign w:val="center"/>
          </w:tcPr>
          <w:p>
            <w:r>
              <w:t>Two chapters per session across ten sessions</w:t>
            </w:r>
          </w:p>
        </w:tc>
      </w:tr>
      <w:tr>
        <w:tc>
          <w:tcPr>
            <w:tcW w:type="dxa" w:w="5083"/>
            <w:tcMar>
              <w:top w:w="90" w:type="dxa"/>
              <w:start w:w="120" w:type="dxa"/>
              <w:bottom w:w="90" w:type="dxa"/>
              <w:end w:w="120" w:type="dxa"/>
            </w:tcMar>
            <w:vAlign w:val="center"/>
            <w:shd w:fill="F3F5F7"/>
          </w:tcPr>
          <w:p>
            <w:r>
              <w:t>Faster option</w:t>
            </w:r>
          </w:p>
        </w:tc>
        <w:tc>
          <w:tcPr>
            <w:tcW w:type="dxa" w:w="5083"/>
            <w:tcMar>
              <w:top w:w="90" w:type="dxa"/>
              <w:start w:w="120" w:type="dxa"/>
              <w:bottom w:w="90" w:type="dxa"/>
              <w:end w:w="120" w:type="dxa"/>
            </w:tcMar>
            <w:vAlign w:val="center"/>
          </w:tcPr>
          <w:p>
            <w:r>
              <w:t>Four chapters per week across five weeks</w:t>
            </w:r>
          </w:p>
        </w:tc>
      </w:tr>
      <w:tr>
        <w:tc>
          <w:tcPr>
            <w:tcW w:type="dxa" w:w="5083"/>
            <w:tcMar>
              <w:top w:w="90" w:type="dxa"/>
              <w:start w:w="120" w:type="dxa"/>
              <w:bottom w:w="90" w:type="dxa"/>
              <w:end w:w="120" w:type="dxa"/>
            </w:tcMar>
            <w:vAlign w:val="center"/>
            <w:shd w:fill="F3F5F7"/>
          </w:tcPr>
          <w:p>
            <w:r>
              <w:t>Gentler option</w:t>
            </w:r>
          </w:p>
        </w:tc>
        <w:tc>
          <w:tcPr>
            <w:tcW w:type="dxa" w:w="5083"/>
            <w:tcMar>
              <w:top w:w="90" w:type="dxa"/>
              <w:start w:w="120" w:type="dxa"/>
              <w:bottom w:w="90" w:type="dxa"/>
              <w:end w:w="120" w:type="dxa"/>
            </w:tcMar>
            <w:vAlign w:val="center"/>
          </w:tcPr>
          <w:p>
            <w:r>
              <w:t>One chapter per reading day across twenty sessions</w:t>
            </w:r>
          </w:p>
        </w:tc>
      </w:tr>
      <w:tr>
        <w:tc>
          <w:tcPr>
            <w:tcW w:type="dxa" w:w="5083"/>
            <w:tcMar>
              <w:top w:w="90" w:type="dxa"/>
              <w:start w:w="120" w:type="dxa"/>
              <w:bottom w:w="90" w:type="dxa"/>
              <w:end w:w="120" w:type="dxa"/>
            </w:tcMar>
            <w:vAlign w:val="center"/>
            <w:shd w:fill="F3F5F7"/>
          </w:tcPr>
          <w:p>
            <w:r>
              <w:t>Suggested session length</w:t>
            </w:r>
          </w:p>
        </w:tc>
        <w:tc>
          <w:tcPr>
            <w:tcW w:type="dxa" w:w="5083"/>
            <w:tcMar>
              <w:top w:w="90" w:type="dxa"/>
              <w:start w:w="120" w:type="dxa"/>
              <w:bottom w:w="90" w:type="dxa"/>
              <w:end w:w="120" w:type="dxa"/>
            </w:tcMar>
            <w:vAlign w:val="center"/>
          </w:tcPr>
          <w:p>
            <w:r>
              <w:t>30-45 minutes reading plus 10-20 minutes discussion or activity</w:t>
            </w:r>
          </w:p>
        </w:tc>
      </w:tr>
      <w:tr>
        <w:tc>
          <w:tcPr>
            <w:tcW w:type="dxa" w:w="5083"/>
            <w:tcMar>
              <w:top w:w="90" w:type="dxa"/>
              <w:start w:w="120" w:type="dxa"/>
              <w:bottom w:w="90" w:type="dxa"/>
              <w:end w:w="120" w:type="dxa"/>
            </w:tcMar>
            <w:vAlign w:val="center"/>
            <w:shd w:fill="F3F5F7"/>
          </w:tcPr>
          <w:p>
            <w:r>
              <w:t>Useful companion resources</w:t>
            </w:r>
          </w:p>
        </w:tc>
        <w:tc>
          <w:tcPr>
            <w:tcW w:type="dxa" w:w="5083"/>
            <w:tcMar>
              <w:top w:w="90" w:type="dxa"/>
              <w:start w:w="120" w:type="dxa"/>
              <w:bottom w:w="90" w:type="dxa"/>
              <w:end w:w="120" w:type="dxa"/>
            </w:tcMar>
            <w:vAlign w:val="center"/>
          </w:tcPr>
          <w:p>
            <w:r>
              <w:t>Chapter Checkpoint Worksheets, Reading Comprehension Worksheets and Vocabulary Workbook</w:t>
            </w:r>
          </w:p>
        </w:tc>
      </w:tr>
    </w:tbl>
    <w:p>
      <w:pPr>
        <w:pStyle w:val="Heading1"/>
      </w:pPr>
      <w:r>
        <w:t>2. Recommended ten-session plan</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E223C"/>
            <w:tcMar>
              <w:top w:w="90" w:type="dxa"/>
              <w:start w:w="120" w:type="dxa"/>
              <w:bottom w:w="90" w:type="dxa"/>
              <w:end w:w="120" w:type="dxa"/>
            </w:tcMar>
          </w:tcPr>
          <w:p>
            <w:r>
              <w:rPr>
                <w:b/>
                <w:color w:val="FFFFFF"/>
              </w:rPr>
              <w:t>Session</w:t>
            </w:r>
          </w:p>
        </w:tc>
        <w:tc>
          <w:tcPr>
            <w:tcW w:type="dxa" w:w="2541"/>
            <w:shd w:fill="0E223C"/>
            <w:tcMar>
              <w:top w:w="90" w:type="dxa"/>
              <w:start w:w="120" w:type="dxa"/>
              <w:bottom w:w="90" w:type="dxa"/>
              <w:end w:w="120" w:type="dxa"/>
            </w:tcMar>
          </w:tcPr>
          <w:p>
            <w:r>
              <w:rPr>
                <w:b/>
                <w:color w:val="FFFFFF"/>
              </w:rPr>
              <w:t>Reading</w:t>
            </w:r>
          </w:p>
        </w:tc>
        <w:tc>
          <w:tcPr>
            <w:tcW w:type="dxa" w:w="2541"/>
            <w:shd w:fill="0E223C"/>
            <w:tcMar>
              <w:top w:w="90" w:type="dxa"/>
              <w:start w:w="120" w:type="dxa"/>
              <w:bottom w:w="90" w:type="dxa"/>
              <w:end w:w="120" w:type="dxa"/>
            </w:tcMar>
          </w:tcPr>
          <w:p>
            <w:r>
              <w:rPr>
                <w:b/>
                <w:color w:val="FFFFFF"/>
              </w:rPr>
              <w:t>Main focus</w:t>
            </w:r>
          </w:p>
        </w:tc>
        <w:tc>
          <w:tcPr>
            <w:tcW w:type="dxa" w:w="2541"/>
            <w:shd w:fill="0E223C"/>
            <w:tcMar>
              <w:top w:w="90" w:type="dxa"/>
              <w:start w:w="120" w:type="dxa"/>
              <w:bottom w:w="90" w:type="dxa"/>
              <w:end w:w="120" w:type="dxa"/>
            </w:tcMar>
          </w:tcPr>
          <w:p>
            <w:r>
              <w:rPr>
                <w:b/>
                <w:color w:val="FFFFFF"/>
              </w:rPr>
              <w:t>Quick checkpoint or activity</w:t>
            </w:r>
          </w:p>
        </w:tc>
      </w:tr>
      <w:tr>
        <w:tc>
          <w:tcPr>
            <w:tcW w:type="dxa" w:w="2541"/>
            <w:tcMar>
              <w:top w:w="90" w:type="dxa"/>
              <w:start w:w="120" w:type="dxa"/>
              <w:bottom w:w="90" w:type="dxa"/>
              <w:end w:w="120" w:type="dxa"/>
            </w:tcMar>
            <w:shd w:fill="F3F5F7"/>
          </w:tcPr>
          <w:p>
            <w:r>
              <w:t>1</w:t>
            </w:r>
          </w:p>
        </w:tc>
        <w:tc>
          <w:tcPr>
            <w:tcW w:type="dxa" w:w="2541"/>
            <w:tcMar>
              <w:top w:w="90" w:type="dxa"/>
              <w:start w:w="120" w:type="dxa"/>
              <w:bottom w:w="90" w:type="dxa"/>
              <w:end w:w="120" w:type="dxa"/>
            </w:tcMar>
          </w:tcPr>
          <w:p>
            <w:r>
              <w:t>Chapters 1-2</w:t>
            </w:r>
          </w:p>
        </w:tc>
        <w:tc>
          <w:tcPr>
            <w:tcW w:type="dxa" w:w="2541"/>
            <w:tcMar>
              <w:top w:w="90" w:type="dxa"/>
              <w:start w:w="120" w:type="dxa"/>
              <w:bottom w:w="90" w:type="dxa"/>
              <w:end w:w="120" w:type="dxa"/>
            </w:tcMar>
          </w:tcPr>
          <w:p>
            <w:r>
              <w:t>Arrival, grief and first impressions</w:t>
            </w:r>
          </w:p>
        </w:tc>
        <w:tc>
          <w:tcPr>
            <w:tcW w:type="dxa" w:w="2541"/>
            <w:tcMar>
              <w:top w:w="90" w:type="dxa"/>
              <w:start w:w="120" w:type="dxa"/>
              <w:bottom w:w="90" w:type="dxa"/>
              <w:end w:w="120" w:type="dxa"/>
            </w:tcMar>
          </w:tcPr>
          <w:p>
            <w:r>
              <w:t>Record one detail that shows Jamie feels out of place; predict what the tablet glitch means.</w:t>
            </w:r>
          </w:p>
        </w:tc>
      </w:tr>
      <w:tr>
        <w:tc>
          <w:tcPr>
            <w:tcW w:type="dxa" w:w="2541"/>
            <w:tcMar>
              <w:top w:w="90" w:type="dxa"/>
              <w:start w:w="120" w:type="dxa"/>
              <w:bottom w:w="90" w:type="dxa"/>
              <w:end w:w="120" w:type="dxa"/>
            </w:tcMar>
            <w:shd w:fill="F3F5F7"/>
          </w:tcPr>
          <w:p>
            <w:r>
              <w:t>2</w:t>
            </w:r>
          </w:p>
        </w:tc>
        <w:tc>
          <w:tcPr>
            <w:tcW w:type="dxa" w:w="2541"/>
            <w:tcMar>
              <w:top w:w="90" w:type="dxa"/>
              <w:start w:w="120" w:type="dxa"/>
              <w:bottom w:w="90" w:type="dxa"/>
              <w:end w:w="120" w:type="dxa"/>
            </w:tcMar>
          </w:tcPr>
          <w:p>
            <w:r>
              <w:t>Chapters 3-4</w:t>
            </w:r>
          </w:p>
        </w:tc>
        <w:tc>
          <w:tcPr>
            <w:tcW w:type="dxa" w:w="2541"/>
            <w:tcMar>
              <w:top w:w="90" w:type="dxa"/>
              <w:start w:w="120" w:type="dxa"/>
              <w:bottom w:w="90" w:type="dxa"/>
              <w:end w:w="120" w:type="dxa"/>
            </w:tcMar>
          </w:tcPr>
          <w:p>
            <w:r>
              <w:t>The messages and the first crossing</w:t>
            </w:r>
          </w:p>
        </w:tc>
        <w:tc>
          <w:tcPr>
            <w:tcW w:type="dxa" w:w="2541"/>
            <w:tcMar>
              <w:top w:w="90" w:type="dxa"/>
              <w:start w:w="120" w:type="dxa"/>
              <w:bottom w:w="90" w:type="dxa"/>
              <w:end w:w="120" w:type="dxa"/>
            </w:tcMar>
          </w:tcPr>
          <w:p>
            <w:r>
              <w:t>Debate whether Jamie should touch the pattern; list sensory evidence that Myridiam feels real.</w:t>
            </w:r>
          </w:p>
        </w:tc>
      </w:tr>
      <w:tr>
        <w:tc>
          <w:tcPr>
            <w:tcW w:type="dxa" w:w="2541"/>
            <w:tcMar>
              <w:top w:w="90" w:type="dxa"/>
              <w:start w:w="120" w:type="dxa"/>
              <w:bottom w:w="90" w:type="dxa"/>
              <w:end w:w="120" w:type="dxa"/>
            </w:tcMar>
            <w:shd w:fill="F3F5F7"/>
          </w:tcPr>
          <w:p>
            <w:r>
              <w:t>3</w:t>
            </w:r>
          </w:p>
        </w:tc>
        <w:tc>
          <w:tcPr>
            <w:tcW w:type="dxa" w:w="2541"/>
            <w:tcMar>
              <w:top w:w="90" w:type="dxa"/>
              <w:start w:w="120" w:type="dxa"/>
              <w:bottom w:w="90" w:type="dxa"/>
              <w:end w:w="120" w:type="dxa"/>
            </w:tcMar>
          </w:tcPr>
          <w:p>
            <w:r>
              <w:t>Chapters 5-6</w:t>
            </w:r>
          </w:p>
        </w:tc>
        <w:tc>
          <w:tcPr>
            <w:tcW w:type="dxa" w:w="2541"/>
            <w:tcMar>
              <w:top w:w="90" w:type="dxa"/>
              <w:start w:w="120" w:type="dxa"/>
              <w:bottom w:w="90" w:type="dxa"/>
              <w:end w:w="120" w:type="dxa"/>
            </w:tcMar>
          </w:tcPr>
          <w:p>
            <w:r>
              <w:t>Sathyra, the peoples of Myridiam and altered time</w:t>
            </w:r>
          </w:p>
        </w:tc>
        <w:tc>
          <w:tcPr>
            <w:tcW w:type="dxa" w:w="2541"/>
            <w:tcMar>
              <w:top w:w="90" w:type="dxa"/>
              <w:start w:w="120" w:type="dxa"/>
              <w:bottom w:w="90" w:type="dxa"/>
              <w:end w:w="120" w:type="dxa"/>
            </w:tcMar>
          </w:tcPr>
          <w:p>
            <w:r>
              <w:t>Make a trust chart for Jamie and Sathyra; compare time in the two worlds.</w:t>
            </w:r>
          </w:p>
        </w:tc>
      </w:tr>
      <w:tr>
        <w:tc>
          <w:tcPr>
            <w:tcW w:type="dxa" w:w="2541"/>
            <w:tcMar>
              <w:top w:w="90" w:type="dxa"/>
              <w:start w:w="120" w:type="dxa"/>
              <w:bottom w:w="90" w:type="dxa"/>
              <w:end w:w="120" w:type="dxa"/>
            </w:tcMar>
            <w:shd w:fill="F3F5F7"/>
          </w:tcPr>
          <w:p>
            <w:r>
              <w:t>4</w:t>
            </w:r>
          </w:p>
        </w:tc>
        <w:tc>
          <w:tcPr>
            <w:tcW w:type="dxa" w:w="2541"/>
            <w:tcMar>
              <w:top w:w="90" w:type="dxa"/>
              <w:start w:w="120" w:type="dxa"/>
              <w:bottom w:w="90" w:type="dxa"/>
              <w:end w:w="120" w:type="dxa"/>
            </w:tcMar>
          </w:tcPr>
          <w:p>
            <w:r>
              <w:t>Chapters 7-8</w:t>
            </w:r>
          </w:p>
        </w:tc>
        <w:tc>
          <w:tcPr>
            <w:tcW w:type="dxa" w:w="2541"/>
            <w:tcMar>
              <w:top w:w="90" w:type="dxa"/>
              <w:start w:w="120" w:type="dxa"/>
              <w:bottom w:w="90" w:type="dxa"/>
              <w:end w:w="120" w:type="dxa"/>
            </w:tcMar>
          </w:tcPr>
          <w:p>
            <w:r>
              <w:t>Dan, real-world danger and Jamie acting as a protector</w:t>
            </w:r>
          </w:p>
        </w:tc>
        <w:tc>
          <w:tcPr>
            <w:tcW w:type="dxa" w:w="2541"/>
            <w:tcMar>
              <w:top w:w="90" w:type="dxa"/>
              <w:start w:w="120" w:type="dxa"/>
              <w:bottom w:w="90" w:type="dxa"/>
              <w:end w:w="120" w:type="dxa"/>
            </w:tcMar>
          </w:tcPr>
          <w:p>
            <w:r>
              <w:t>Compare rumours about Dan with his actions; track clues linking Cameron to Myridiam.</w:t>
            </w:r>
          </w:p>
        </w:tc>
      </w:tr>
      <w:tr>
        <w:tc>
          <w:tcPr>
            <w:tcW w:type="dxa" w:w="2541"/>
            <w:tcMar>
              <w:top w:w="90" w:type="dxa"/>
              <w:start w:w="120" w:type="dxa"/>
              <w:bottom w:w="90" w:type="dxa"/>
              <w:end w:w="120" w:type="dxa"/>
            </w:tcMar>
            <w:shd w:fill="F3F5F7"/>
          </w:tcPr>
          <w:p>
            <w:r>
              <w:t>5</w:t>
            </w:r>
          </w:p>
        </w:tc>
        <w:tc>
          <w:tcPr>
            <w:tcW w:type="dxa" w:w="2541"/>
            <w:tcMar>
              <w:top w:w="90" w:type="dxa"/>
              <w:start w:w="120" w:type="dxa"/>
              <w:bottom w:w="90" w:type="dxa"/>
              <w:end w:w="120" w:type="dxa"/>
            </w:tcMar>
          </w:tcPr>
          <w:p>
            <w:r>
              <w:t>Chapters 9-10</w:t>
            </w:r>
          </w:p>
        </w:tc>
        <w:tc>
          <w:tcPr>
            <w:tcW w:type="dxa" w:w="2541"/>
            <w:tcMar>
              <w:top w:w="90" w:type="dxa"/>
              <w:start w:w="120" w:type="dxa"/>
              <w:bottom w:w="90" w:type="dxa"/>
              <w:end w:w="120" w:type="dxa"/>
            </w:tcMar>
          </w:tcPr>
          <w:p>
            <w:r>
              <w:t>The secret expands to Dan and Lakshmi</w:t>
            </w:r>
          </w:p>
        </w:tc>
        <w:tc>
          <w:tcPr>
            <w:tcW w:type="dxa" w:w="2541"/>
            <w:tcMar>
              <w:top w:w="90" w:type="dxa"/>
              <w:start w:w="120" w:type="dxa"/>
              <w:bottom w:w="90" w:type="dxa"/>
              <w:end w:w="120" w:type="dxa"/>
            </w:tcMar>
          </w:tcPr>
          <w:p>
            <w:r>
              <w:t>List the trio's ordinary strengths before adding their magical roles.</w:t>
            </w:r>
          </w:p>
        </w:tc>
      </w:tr>
      <w:tr>
        <w:tc>
          <w:tcPr>
            <w:tcW w:type="dxa" w:w="2541"/>
            <w:tcMar>
              <w:top w:w="90" w:type="dxa"/>
              <w:start w:w="120" w:type="dxa"/>
              <w:bottom w:w="90" w:type="dxa"/>
              <w:end w:w="120" w:type="dxa"/>
            </w:tcMar>
            <w:shd w:fill="F3F5F7"/>
          </w:tcPr>
          <w:p>
            <w:r>
              <w:t>6</w:t>
            </w:r>
          </w:p>
        </w:tc>
        <w:tc>
          <w:tcPr>
            <w:tcW w:type="dxa" w:w="2541"/>
            <w:tcMar>
              <w:top w:w="90" w:type="dxa"/>
              <w:start w:w="120" w:type="dxa"/>
              <w:bottom w:w="90" w:type="dxa"/>
              <w:end w:w="120" w:type="dxa"/>
            </w:tcMar>
          </w:tcPr>
          <w:p>
            <w:r>
              <w:t>Chapters 11-12</w:t>
            </w:r>
          </w:p>
        </w:tc>
        <w:tc>
          <w:tcPr>
            <w:tcW w:type="dxa" w:w="2541"/>
            <w:tcMar>
              <w:top w:w="90" w:type="dxa"/>
              <w:start w:w="120" w:type="dxa"/>
              <w:bottom w:w="90" w:type="dxa"/>
              <w:end w:w="120" w:type="dxa"/>
            </w:tcMar>
          </w:tcPr>
          <w:p>
            <w:r>
              <w:t>Clearwater, pursuit and difficult alliances</w:t>
            </w:r>
          </w:p>
        </w:tc>
        <w:tc>
          <w:tcPr>
            <w:tcW w:type="dxa" w:w="2541"/>
            <w:tcMar>
              <w:top w:w="90" w:type="dxa"/>
              <w:start w:w="120" w:type="dxa"/>
              <w:bottom w:w="90" w:type="dxa"/>
              <w:end w:w="120" w:type="dxa"/>
            </w:tcMar>
          </w:tcPr>
          <w:p>
            <w:r>
              <w:t>Identify how each member of the trio helps during danger; discuss the decision to rest.</w:t>
            </w:r>
          </w:p>
        </w:tc>
      </w:tr>
      <w:tr>
        <w:tc>
          <w:tcPr>
            <w:tcW w:type="dxa" w:w="2541"/>
            <w:tcMar>
              <w:top w:w="90" w:type="dxa"/>
              <w:start w:w="120" w:type="dxa"/>
              <w:bottom w:w="90" w:type="dxa"/>
              <w:end w:w="120" w:type="dxa"/>
            </w:tcMar>
            <w:shd w:fill="F3F5F7"/>
          </w:tcPr>
          <w:p>
            <w:r>
              <w:t>7</w:t>
            </w:r>
          </w:p>
        </w:tc>
        <w:tc>
          <w:tcPr>
            <w:tcW w:type="dxa" w:w="2541"/>
            <w:tcMar>
              <w:top w:w="90" w:type="dxa"/>
              <w:start w:w="120" w:type="dxa"/>
              <w:bottom w:w="90" w:type="dxa"/>
              <w:end w:w="120" w:type="dxa"/>
            </w:tcMar>
          </w:tcPr>
          <w:p>
            <w:r>
              <w:t>Chapters 13-14</w:t>
            </w:r>
          </w:p>
        </w:tc>
        <w:tc>
          <w:tcPr>
            <w:tcW w:type="dxa" w:w="2541"/>
            <w:tcMar>
              <w:top w:w="90" w:type="dxa"/>
              <w:start w:w="120" w:type="dxa"/>
              <w:bottom w:w="90" w:type="dxa"/>
              <w:end w:w="120" w:type="dxa"/>
            </w:tcMar>
          </w:tcPr>
          <w:p>
            <w:r>
              <w:t>Monitoring, planning and diverging priorities</w:t>
            </w:r>
          </w:p>
        </w:tc>
        <w:tc>
          <w:tcPr>
            <w:tcW w:type="dxa" w:w="2541"/>
            <w:tcMar>
              <w:top w:w="90" w:type="dxa"/>
              <w:start w:w="120" w:type="dxa"/>
              <w:bottom w:w="90" w:type="dxa"/>
              <w:end w:w="120" w:type="dxa"/>
            </w:tcMar>
          </w:tcPr>
          <w:p>
            <w:r>
              <w:t>Create two theories about 2126; evaluate the risks of entering separately.</w:t>
            </w:r>
          </w:p>
        </w:tc>
      </w:tr>
      <w:tr>
        <w:tc>
          <w:tcPr>
            <w:tcW w:type="dxa" w:w="2541"/>
            <w:tcMar>
              <w:top w:w="90" w:type="dxa"/>
              <w:start w:w="120" w:type="dxa"/>
              <w:bottom w:w="90" w:type="dxa"/>
              <w:end w:w="120" w:type="dxa"/>
            </w:tcMar>
            <w:shd w:fill="F3F5F7"/>
          </w:tcPr>
          <w:p>
            <w:r>
              <w:t>8</w:t>
            </w:r>
          </w:p>
        </w:tc>
        <w:tc>
          <w:tcPr>
            <w:tcW w:type="dxa" w:w="2541"/>
            <w:tcMar>
              <w:top w:w="90" w:type="dxa"/>
              <w:start w:w="120" w:type="dxa"/>
              <w:bottom w:w="90" w:type="dxa"/>
              <w:end w:w="120" w:type="dxa"/>
            </w:tcMar>
          </w:tcPr>
          <w:p>
            <w:r>
              <w:t>Chapters 15-16</w:t>
            </w:r>
          </w:p>
        </w:tc>
        <w:tc>
          <w:tcPr>
            <w:tcW w:type="dxa" w:w="2541"/>
            <w:tcMar>
              <w:top w:w="90" w:type="dxa"/>
              <w:start w:w="120" w:type="dxa"/>
              <w:bottom w:w="90" w:type="dxa"/>
              <w:end w:w="120" w:type="dxa"/>
            </w:tcMar>
          </w:tcPr>
          <w:p>
            <w:r>
              <w:t>Oakhill, the broken pass and signs of a trap</w:t>
            </w:r>
          </w:p>
        </w:tc>
        <w:tc>
          <w:tcPr>
            <w:tcW w:type="dxa" w:w="2541"/>
            <w:tcMar>
              <w:top w:w="90" w:type="dxa"/>
              <w:start w:w="120" w:type="dxa"/>
              <w:bottom w:w="90" w:type="dxa"/>
              <w:end w:w="120" w:type="dxa"/>
            </w:tcMar>
          </w:tcPr>
          <w:p>
            <w:r>
              <w:t>Collect evidence that Jamie is becoming more confident; map hazards along the route.</w:t>
            </w:r>
          </w:p>
        </w:tc>
      </w:tr>
      <w:tr>
        <w:tc>
          <w:tcPr>
            <w:tcW w:type="dxa" w:w="2541"/>
            <w:tcMar>
              <w:top w:w="90" w:type="dxa"/>
              <w:start w:w="120" w:type="dxa"/>
              <w:bottom w:w="90" w:type="dxa"/>
              <w:end w:w="120" w:type="dxa"/>
            </w:tcMar>
            <w:shd w:fill="F3F5F7"/>
          </w:tcPr>
          <w:p>
            <w:r>
              <w:t>9</w:t>
            </w:r>
          </w:p>
        </w:tc>
        <w:tc>
          <w:tcPr>
            <w:tcW w:type="dxa" w:w="2541"/>
            <w:tcMar>
              <w:top w:w="90" w:type="dxa"/>
              <w:start w:w="120" w:type="dxa"/>
              <w:bottom w:w="90" w:type="dxa"/>
              <w:end w:w="120" w:type="dxa"/>
            </w:tcMar>
          </w:tcPr>
          <w:p>
            <w:r>
              <w:t>Chapters 17-18</w:t>
            </w:r>
          </w:p>
        </w:tc>
        <w:tc>
          <w:tcPr>
            <w:tcW w:type="dxa" w:w="2541"/>
            <w:tcMar>
              <w:top w:w="90" w:type="dxa"/>
              <w:start w:w="120" w:type="dxa"/>
              <w:bottom w:w="90" w:type="dxa"/>
              <w:end w:w="120" w:type="dxa"/>
            </w:tcMar>
          </w:tcPr>
          <w:p>
            <w:r>
              <w:t>The ravine champion and converging allies</w:t>
            </w:r>
          </w:p>
        </w:tc>
        <w:tc>
          <w:tcPr>
            <w:tcW w:type="dxa" w:w="2541"/>
            <w:tcMar>
              <w:top w:w="90" w:type="dxa"/>
              <w:start w:w="120" w:type="dxa"/>
              <w:bottom w:w="90" w:type="dxa"/>
              <w:end w:w="120" w:type="dxa"/>
            </w:tcMar>
          </w:tcPr>
          <w:p>
            <w:r>
              <w:t>Explain how endurance and teamwork overcome greater strength; identify the deception involving the satchel.</w:t>
            </w:r>
          </w:p>
        </w:tc>
      </w:tr>
      <w:tr>
        <w:tc>
          <w:tcPr>
            <w:tcW w:type="dxa" w:w="2541"/>
            <w:tcMar>
              <w:top w:w="90" w:type="dxa"/>
              <w:start w:w="120" w:type="dxa"/>
              <w:bottom w:w="90" w:type="dxa"/>
              <w:end w:w="120" w:type="dxa"/>
            </w:tcMar>
            <w:shd w:fill="F3F5F7"/>
          </w:tcPr>
          <w:p>
            <w:r>
              <w:t>10</w:t>
            </w:r>
          </w:p>
        </w:tc>
        <w:tc>
          <w:tcPr>
            <w:tcW w:type="dxa" w:w="2541"/>
            <w:tcMar>
              <w:top w:w="90" w:type="dxa"/>
              <w:start w:w="120" w:type="dxa"/>
              <w:bottom w:w="90" w:type="dxa"/>
              <w:end w:w="120" w:type="dxa"/>
            </w:tcMar>
          </w:tcPr>
          <w:p>
            <w:r>
              <w:t>Chapters 19-20</w:t>
            </w:r>
          </w:p>
        </w:tc>
        <w:tc>
          <w:tcPr>
            <w:tcW w:type="dxa" w:w="2541"/>
            <w:tcMar>
              <w:top w:w="90" w:type="dxa"/>
              <w:start w:w="120" w:type="dxa"/>
              <w:bottom w:w="90" w:type="dxa"/>
              <w:end w:w="120" w:type="dxa"/>
            </w:tcMar>
          </w:tcPr>
          <w:p>
            <w:r>
              <w:t>Aftermath, the northern threat and life between worlds</w:t>
            </w:r>
          </w:p>
        </w:tc>
        <w:tc>
          <w:tcPr>
            <w:tcW w:type="dxa" w:w="2541"/>
            <w:tcMar>
              <w:top w:w="90" w:type="dxa"/>
              <w:start w:w="120" w:type="dxa"/>
              <w:bottom w:w="90" w:type="dxa"/>
              <w:end w:w="120" w:type="dxa"/>
            </w:tcMar>
          </w:tcPr>
          <w:p>
            <w:r>
              <w:t>Separate what the coalition knows from what it suspects; reflect on why the trio want to return.</w:t>
            </w:r>
          </w:p>
        </w:tc>
      </w:tr>
    </w:tbl>
    <w:p>
      <w:pPr>
        <w:pStyle w:val="Heading1"/>
      </w:pPr>
      <w:r>
        <w:t>3. Five-week book-club plan</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90" w:type="dxa"/>
              <w:start w:w="120" w:type="dxa"/>
              <w:bottom w:w="90" w:type="dxa"/>
              <w:end w:w="120" w:type="dxa"/>
            </w:tcMar>
          </w:tcPr>
          <w:p>
            <w:r>
              <w:rPr>
                <w:b/>
                <w:color w:val="FFFFFF"/>
              </w:rPr>
              <w:t>Week</w:t>
            </w:r>
          </w:p>
        </w:tc>
        <w:tc>
          <w:tcPr>
            <w:tcW w:type="dxa" w:w="5083"/>
            <w:shd w:fill="0E223C"/>
            <w:tcMar>
              <w:top w:w="90" w:type="dxa"/>
              <w:start w:w="120" w:type="dxa"/>
              <w:bottom w:w="90" w:type="dxa"/>
              <w:end w:w="120" w:type="dxa"/>
            </w:tcMar>
          </w:tcPr>
          <w:p>
            <w:r>
              <w:rPr>
                <w:b/>
                <w:color w:val="FFFFFF"/>
              </w:rPr>
              <w:t>Plan</w:t>
            </w:r>
          </w:p>
        </w:tc>
      </w:tr>
      <w:tr>
        <w:tc>
          <w:tcPr>
            <w:tcW w:type="dxa" w:w="5083"/>
            <w:tcMar>
              <w:top w:w="90" w:type="dxa"/>
              <w:start w:w="120" w:type="dxa"/>
              <w:bottom w:w="90" w:type="dxa"/>
              <w:end w:w="120" w:type="dxa"/>
            </w:tcMar>
            <w:vAlign w:val="center"/>
            <w:shd w:fill="F3F5F7"/>
          </w:tcPr>
          <w:p>
            <w:r>
              <w:t>Week 1</w:t>
            </w:r>
          </w:p>
        </w:tc>
        <w:tc>
          <w:tcPr>
            <w:tcW w:type="dxa" w:w="5083"/>
            <w:tcMar>
              <w:top w:w="90" w:type="dxa"/>
              <w:start w:w="120" w:type="dxa"/>
              <w:bottom w:w="90" w:type="dxa"/>
              <w:end w:w="120" w:type="dxa"/>
            </w:tcMar>
            <w:vAlign w:val="center"/>
          </w:tcPr>
          <w:p>
            <w:r>
              <w:t>Chapters 1-4</w:t>
              <w:br/>
              <w:t>Focus: Belonging, grief, technology and the decision to cross the Gateway</w:t>
              <w:br/>
              <w:t>Suggested task: Title-and-cover predictions; “Would you touch the pattern?” debate.</w:t>
            </w:r>
          </w:p>
        </w:tc>
      </w:tr>
      <w:tr>
        <w:tc>
          <w:tcPr>
            <w:tcW w:type="dxa" w:w="5083"/>
            <w:tcMar>
              <w:top w:w="90" w:type="dxa"/>
              <w:start w:w="120" w:type="dxa"/>
              <w:bottom w:w="90" w:type="dxa"/>
              <w:end w:w="120" w:type="dxa"/>
            </w:tcMar>
            <w:vAlign w:val="center"/>
            <w:shd w:fill="F3F5F7"/>
          </w:tcPr>
          <w:p>
            <w:r>
              <w:t>Week 2</w:t>
            </w:r>
          </w:p>
        </w:tc>
        <w:tc>
          <w:tcPr>
            <w:tcW w:type="dxa" w:w="5083"/>
            <w:tcMar>
              <w:top w:w="90" w:type="dxa"/>
              <w:start w:w="120" w:type="dxa"/>
              <w:bottom w:w="90" w:type="dxa"/>
              <w:end w:w="120" w:type="dxa"/>
            </w:tcMar>
            <w:vAlign w:val="center"/>
          </w:tcPr>
          <w:p>
            <w:r>
              <w:t>Chapters 5-8</w:t>
              <w:br/>
              <w:t>Focus: Trust, courage, first impressions and clues about Cameron</w:t>
              <w:br/>
              <w:t>Suggested task: Map orientation; compare Sathyra and Dan as unexpected allies.</w:t>
            </w:r>
          </w:p>
        </w:tc>
      </w:tr>
      <w:tr>
        <w:tc>
          <w:tcPr>
            <w:tcW w:type="dxa" w:w="5083"/>
            <w:tcMar>
              <w:top w:w="90" w:type="dxa"/>
              <w:start w:w="120" w:type="dxa"/>
              <w:bottom w:w="90" w:type="dxa"/>
              <w:end w:w="120" w:type="dxa"/>
            </w:tcMar>
            <w:vAlign w:val="center"/>
            <w:shd w:fill="F3F5F7"/>
          </w:tcPr>
          <w:p>
            <w:r>
              <w:t>Week 3</w:t>
            </w:r>
          </w:p>
        </w:tc>
        <w:tc>
          <w:tcPr>
            <w:tcW w:type="dxa" w:w="5083"/>
            <w:tcMar>
              <w:top w:w="90" w:type="dxa"/>
              <w:start w:w="120" w:type="dxa"/>
              <w:bottom w:w="90" w:type="dxa"/>
              <w:end w:w="120" w:type="dxa"/>
            </w:tcMar>
            <w:vAlign w:val="center"/>
          </w:tcPr>
          <w:p>
            <w:r>
              <w:t>Chapters 9-12</w:t>
              <w:br/>
              <w:t>Focus: Friendship, teamwork, conflict and consequences</w:t>
              <w:br/>
              <w:t>Suggested task: Character-role chart; council decision after the attack on Clearwater.</w:t>
            </w:r>
          </w:p>
        </w:tc>
      </w:tr>
      <w:tr>
        <w:tc>
          <w:tcPr>
            <w:tcW w:type="dxa" w:w="5083"/>
            <w:tcMar>
              <w:top w:w="90" w:type="dxa"/>
              <w:start w:w="120" w:type="dxa"/>
              <w:bottom w:w="90" w:type="dxa"/>
              <w:end w:w="120" w:type="dxa"/>
            </w:tcMar>
            <w:vAlign w:val="center"/>
            <w:shd w:fill="F3F5F7"/>
          </w:tcPr>
          <w:p>
            <w:r>
              <w:t>Week 4</w:t>
            </w:r>
          </w:p>
        </w:tc>
        <w:tc>
          <w:tcPr>
            <w:tcW w:type="dxa" w:w="5083"/>
            <w:tcMar>
              <w:top w:w="90" w:type="dxa"/>
              <w:start w:w="120" w:type="dxa"/>
              <w:bottom w:w="90" w:type="dxa"/>
              <w:end w:w="120" w:type="dxa"/>
            </w:tcMar>
            <w:vAlign w:val="center"/>
          </w:tcPr>
          <w:p>
            <w:r>
              <w:t>Chapters 13-16</w:t>
              <w:br/>
              <w:t>Focus: Planning, risk, leadership and strategic choices</w:t>
              <w:br/>
              <w:t>Suggested task: 2126 theory board; route and danger map through the broken pass.</w:t>
            </w:r>
          </w:p>
        </w:tc>
      </w:tr>
      <w:tr>
        <w:tc>
          <w:tcPr>
            <w:tcW w:type="dxa" w:w="5083"/>
            <w:tcMar>
              <w:top w:w="90" w:type="dxa"/>
              <w:start w:w="120" w:type="dxa"/>
              <w:bottom w:w="90" w:type="dxa"/>
              <w:end w:w="120" w:type="dxa"/>
            </w:tcMar>
            <w:vAlign w:val="center"/>
            <w:shd w:fill="F3F5F7"/>
          </w:tcPr>
          <w:p>
            <w:r>
              <w:t>Week 5</w:t>
            </w:r>
          </w:p>
        </w:tc>
        <w:tc>
          <w:tcPr>
            <w:tcW w:type="dxa" w:w="5083"/>
            <w:tcMar>
              <w:top w:w="90" w:type="dxa"/>
              <w:start w:w="120" w:type="dxa"/>
              <w:bottom w:w="90" w:type="dxa"/>
              <w:end w:w="120" w:type="dxa"/>
            </w:tcMar>
            <w:vAlign w:val="center"/>
          </w:tcPr>
          <w:p>
            <w:r>
              <w:t>Chapters 17-20</w:t>
              <w:br/>
              <w:t>Focus: Resilience, alliance, aftermath and unresolved mysteries</w:t>
              <w:br/>
              <w:t>Suggested task: Whole-book discussion; Book Two prediction and reader review.</w:t>
            </w:r>
          </w:p>
        </w:tc>
      </w:tr>
    </w:tbl>
    <w:p>
      <w:r>
        <w:br w:type="page"/>
      </w:r>
    </w:p>
    <w:p>
      <w:pPr>
        <w:pStyle w:val="Heading1"/>
      </w:pPr>
      <w:r>
        <w:t>4. Twenty-session gentle reading plan</w:t>
      </w:r>
    </w:p>
    <w:p>
      <w:r>
        <w:t>This option keeps each reading target short and gives readers a clear sense of completion after every chapter.</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E223C"/>
            <w:tcMar>
              <w:top w:w="90" w:type="dxa"/>
              <w:start w:w="120" w:type="dxa"/>
              <w:bottom w:w="90" w:type="dxa"/>
              <w:end w:w="120" w:type="dxa"/>
            </w:tcMar>
          </w:tcPr>
          <w:p>
            <w:r>
              <w:rPr>
                <w:b/>
                <w:color w:val="FFFFFF"/>
              </w:rPr>
              <w:t>Session</w:t>
            </w:r>
          </w:p>
        </w:tc>
        <w:tc>
          <w:tcPr>
            <w:tcW w:type="dxa" w:w="2541"/>
            <w:shd w:fill="0E223C"/>
            <w:tcMar>
              <w:top w:w="90" w:type="dxa"/>
              <w:start w:w="120" w:type="dxa"/>
              <w:bottom w:w="90" w:type="dxa"/>
              <w:end w:w="120" w:type="dxa"/>
            </w:tcMar>
          </w:tcPr>
          <w:p>
            <w:r>
              <w:rPr>
                <w:b/>
                <w:color w:val="FFFFFF"/>
              </w:rPr>
              <w:t>Chapter</w:t>
            </w:r>
          </w:p>
        </w:tc>
        <w:tc>
          <w:tcPr>
            <w:tcW w:type="dxa" w:w="2541"/>
            <w:shd w:fill="0E223C"/>
            <w:tcMar>
              <w:top w:w="90" w:type="dxa"/>
              <w:start w:w="120" w:type="dxa"/>
              <w:bottom w:w="90" w:type="dxa"/>
              <w:end w:w="120" w:type="dxa"/>
            </w:tcMar>
          </w:tcPr>
          <w:p>
            <w:r>
              <w:rPr>
                <w:b/>
                <w:color w:val="FFFFFF"/>
              </w:rPr>
              <w:t>One thing to notice</w:t>
            </w:r>
          </w:p>
        </w:tc>
        <w:tc>
          <w:tcPr>
            <w:tcW w:type="dxa" w:w="2541"/>
            <w:shd w:fill="0E223C"/>
            <w:tcMar>
              <w:top w:w="90" w:type="dxa"/>
              <w:start w:w="120" w:type="dxa"/>
              <w:bottom w:w="90" w:type="dxa"/>
              <w:end w:w="120" w:type="dxa"/>
            </w:tcMar>
          </w:tcPr>
          <w:p>
            <w:r>
              <w:rPr>
                <w:b/>
                <w:color w:val="FFFFFF"/>
              </w:rPr>
              <w:t>Completed</w:t>
            </w:r>
          </w:p>
        </w:tc>
      </w:tr>
      <w:tr>
        <w:tc>
          <w:tcPr>
            <w:tcW w:type="dxa" w:w="2541"/>
            <w:tcMar>
              <w:top w:w="75" w:type="dxa"/>
              <w:start w:w="100" w:type="dxa"/>
              <w:bottom w:w="75" w:type="dxa"/>
              <w:end w:w="100" w:type="dxa"/>
            </w:tcMar>
            <w:shd w:fill="F3F5F7"/>
          </w:tcPr>
          <w:p>
            <w:r>
              <w:t>1</w:t>
            </w:r>
          </w:p>
        </w:tc>
        <w:tc>
          <w:tcPr>
            <w:tcW w:type="dxa" w:w="2541"/>
            <w:tcMar>
              <w:top w:w="75" w:type="dxa"/>
              <w:start w:w="100" w:type="dxa"/>
              <w:bottom w:w="75" w:type="dxa"/>
              <w:end w:w="100" w:type="dxa"/>
            </w:tcMar>
          </w:tcPr>
          <w:p>
            <w:r>
              <w:t>1. The Weight of Silence</w:t>
            </w:r>
          </w:p>
        </w:tc>
        <w:tc>
          <w:tcPr>
            <w:tcW w:type="dxa" w:w="2541"/>
            <w:tcMar>
              <w:top w:w="75" w:type="dxa"/>
              <w:start w:w="100" w:type="dxa"/>
              <w:bottom w:w="75" w:type="dxa"/>
              <w:end w:w="100" w:type="dxa"/>
            </w:tcMar>
          </w:tcPr>
          <w:p>
            <w:r>
              <w:t>How silence and the new house reflect Jamie's feelings.</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2</w:t>
            </w:r>
          </w:p>
        </w:tc>
        <w:tc>
          <w:tcPr>
            <w:tcW w:type="dxa" w:w="2541"/>
            <w:tcMar>
              <w:top w:w="75" w:type="dxa"/>
              <w:start w:w="100" w:type="dxa"/>
              <w:bottom w:w="75" w:type="dxa"/>
              <w:end w:w="100" w:type="dxa"/>
            </w:tcMar>
          </w:tcPr>
          <w:p>
            <w:r>
              <w:t>2. First Day, New Shadows</w:t>
            </w:r>
          </w:p>
        </w:tc>
        <w:tc>
          <w:tcPr>
            <w:tcW w:type="dxa" w:w="2541"/>
            <w:tcMar>
              <w:top w:w="75" w:type="dxa"/>
              <w:start w:w="100" w:type="dxa"/>
              <w:bottom w:w="75" w:type="dxa"/>
              <w:end w:w="100" w:type="dxa"/>
            </w:tcMar>
          </w:tcPr>
          <w:p>
            <w:r>
              <w:t>How first impressions shape Jamie's view of Dan and Lakshmi.</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3</w:t>
            </w:r>
          </w:p>
        </w:tc>
        <w:tc>
          <w:tcPr>
            <w:tcW w:type="dxa" w:w="2541"/>
            <w:tcMar>
              <w:top w:w="75" w:type="dxa"/>
              <w:start w:w="100" w:type="dxa"/>
              <w:bottom w:w="75" w:type="dxa"/>
              <w:end w:w="100" w:type="dxa"/>
            </w:tcMar>
          </w:tcPr>
          <w:p>
            <w:r>
              <w:t>3. Echoes in the Wires</w:t>
            </w:r>
          </w:p>
        </w:tc>
        <w:tc>
          <w:tcPr>
            <w:tcW w:type="dxa" w:w="2541"/>
            <w:tcMar>
              <w:top w:w="75" w:type="dxa"/>
              <w:start w:w="100" w:type="dxa"/>
              <w:bottom w:w="75" w:type="dxa"/>
              <w:end w:w="100" w:type="dxa"/>
            </w:tcMar>
          </w:tcPr>
          <w:p>
            <w:r>
              <w:t>How the messages become more specific and urgent.</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4</w:t>
            </w:r>
          </w:p>
        </w:tc>
        <w:tc>
          <w:tcPr>
            <w:tcW w:type="dxa" w:w="2541"/>
            <w:tcMar>
              <w:top w:w="75" w:type="dxa"/>
              <w:start w:w="100" w:type="dxa"/>
              <w:bottom w:w="75" w:type="dxa"/>
              <w:end w:w="100" w:type="dxa"/>
            </w:tcMar>
          </w:tcPr>
          <w:p>
            <w:r>
              <w:t>4. The Game</w:t>
            </w:r>
          </w:p>
        </w:tc>
        <w:tc>
          <w:tcPr>
            <w:tcW w:type="dxa" w:w="2541"/>
            <w:tcMar>
              <w:top w:w="75" w:type="dxa"/>
              <w:start w:w="100" w:type="dxa"/>
              <w:bottom w:w="75" w:type="dxa"/>
              <w:end w:w="100" w:type="dxa"/>
            </w:tcMar>
          </w:tcPr>
          <w:p>
            <w:r>
              <w:t>How sensory detail makes Myridiam feel real.</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5</w:t>
            </w:r>
          </w:p>
        </w:tc>
        <w:tc>
          <w:tcPr>
            <w:tcW w:type="dxa" w:w="2541"/>
            <w:tcMar>
              <w:top w:w="75" w:type="dxa"/>
              <w:start w:w="100" w:type="dxa"/>
              <w:bottom w:w="75" w:type="dxa"/>
              <w:end w:w="100" w:type="dxa"/>
            </w:tcMar>
          </w:tcPr>
          <w:p>
            <w:r>
              <w:t>5. The Khitari in the Trees</w:t>
            </w:r>
          </w:p>
        </w:tc>
        <w:tc>
          <w:tcPr>
            <w:tcW w:type="dxa" w:w="2541"/>
            <w:tcMar>
              <w:top w:w="75" w:type="dxa"/>
              <w:start w:w="100" w:type="dxa"/>
              <w:bottom w:w="75" w:type="dxa"/>
              <w:end w:w="100" w:type="dxa"/>
            </w:tcMar>
          </w:tcPr>
          <w:p>
            <w:r>
              <w:t>How Jamie and Sathyra test whether they can trust each other.</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6</w:t>
            </w:r>
          </w:p>
        </w:tc>
        <w:tc>
          <w:tcPr>
            <w:tcW w:type="dxa" w:w="2541"/>
            <w:tcMar>
              <w:top w:w="75" w:type="dxa"/>
              <w:start w:w="100" w:type="dxa"/>
              <w:bottom w:w="75" w:type="dxa"/>
              <w:end w:w="100" w:type="dxa"/>
            </w:tcMar>
          </w:tcPr>
          <w:p>
            <w:r>
              <w:t>6. Moments and Hours</w:t>
            </w:r>
          </w:p>
        </w:tc>
        <w:tc>
          <w:tcPr>
            <w:tcW w:type="dxa" w:w="2541"/>
            <w:tcMar>
              <w:top w:w="75" w:type="dxa"/>
              <w:start w:w="100" w:type="dxa"/>
              <w:bottom w:w="75" w:type="dxa"/>
              <w:end w:w="100" w:type="dxa"/>
            </w:tcMar>
          </w:tcPr>
          <w:p>
            <w:r>
              <w:t>Evidence that time and physical experience work differently.</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7</w:t>
            </w:r>
          </w:p>
        </w:tc>
        <w:tc>
          <w:tcPr>
            <w:tcW w:type="dxa" w:w="2541"/>
            <w:tcMar>
              <w:top w:w="75" w:type="dxa"/>
              <w:start w:w="100" w:type="dxa"/>
              <w:bottom w:w="75" w:type="dxa"/>
              <w:end w:w="100" w:type="dxa"/>
            </w:tcMar>
          </w:tcPr>
          <w:p>
            <w:r>
              <w:t>7. Unlikely Allies</w:t>
            </w:r>
          </w:p>
        </w:tc>
        <w:tc>
          <w:tcPr>
            <w:tcW w:type="dxa" w:w="2541"/>
            <w:tcMar>
              <w:top w:w="75" w:type="dxa"/>
              <w:start w:w="100" w:type="dxa"/>
              <w:bottom w:w="75" w:type="dxa"/>
              <w:end w:w="100" w:type="dxa"/>
            </w:tcMar>
          </w:tcPr>
          <w:p>
            <w:r>
              <w:t>How Dan's actions contradict his reputation.</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8</w:t>
            </w:r>
          </w:p>
        </w:tc>
        <w:tc>
          <w:tcPr>
            <w:tcW w:type="dxa" w:w="2541"/>
            <w:tcMar>
              <w:top w:w="75" w:type="dxa"/>
              <w:start w:w="100" w:type="dxa"/>
              <w:bottom w:w="75" w:type="dxa"/>
              <w:end w:w="100" w:type="dxa"/>
            </w:tcMar>
          </w:tcPr>
          <w:p>
            <w:r>
              <w:t>8. Alone in Myridiam</w:t>
            </w:r>
          </w:p>
        </w:tc>
        <w:tc>
          <w:tcPr>
            <w:tcW w:type="dxa" w:w="2541"/>
            <w:tcMar>
              <w:top w:w="75" w:type="dxa"/>
              <w:start w:w="100" w:type="dxa"/>
              <w:bottom w:w="75" w:type="dxa"/>
              <w:end w:w="100" w:type="dxa"/>
            </w:tcMar>
          </w:tcPr>
          <w:p>
            <w:r>
              <w:t>Clues connecting Cameron, the symbol and Myridiam.</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9</w:t>
            </w:r>
          </w:p>
        </w:tc>
        <w:tc>
          <w:tcPr>
            <w:tcW w:type="dxa" w:w="2541"/>
            <w:tcMar>
              <w:top w:w="75" w:type="dxa"/>
              <w:start w:w="100" w:type="dxa"/>
              <w:bottom w:w="75" w:type="dxa"/>
              <w:end w:w="100" w:type="dxa"/>
            </w:tcMar>
          </w:tcPr>
          <w:p>
            <w:r>
              <w:t>9. Accidental Truths</w:t>
            </w:r>
          </w:p>
        </w:tc>
        <w:tc>
          <w:tcPr>
            <w:tcW w:type="dxa" w:w="2541"/>
            <w:tcMar>
              <w:top w:w="75" w:type="dxa"/>
              <w:start w:w="100" w:type="dxa"/>
              <w:bottom w:w="75" w:type="dxa"/>
              <w:end w:w="100" w:type="dxa"/>
            </w:tcMar>
          </w:tcPr>
          <w:p>
            <w:r>
              <w:t>How sharing the secret changes Jamie and Dan's relationship.</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10</w:t>
            </w:r>
          </w:p>
        </w:tc>
        <w:tc>
          <w:tcPr>
            <w:tcW w:type="dxa" w:w="2541"/>
            <w:tcMar>
              <w:top w:w="75" w:type="dxa"/>
              <w:start w:w="100" w:type="dxa"/>
              <w:bottom w:w="75" w:type="dxa"/>
              <w:end w:w="100" w:type="dxa"/>
            </w:tcMar>
          </w:tcPr>
          <w:p>
            <w:r>
              <w:t>10. New Players</w:t>
            </w:r>
          </w:p>
        </w:tc>
        <w:tc>
          <w:tcPr>
            <w:tcW w:type="dxa" w:w="2541"/>
            <w:tcMar>
              <w:top w:w="75" w:type="dxa"/>
              <w:start w:w="100" w:type="dxa"/>
              <w:bottom w:w="75" w:type="dxa"/>
              <w:end w:w="100" w:type="dxa"/>
            </w:tcMar>
          </w:tcPr>
          <w:p>
            <w:r>
              <w:t>What each of the three friends contributes beyond magic.</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11</w:t>
            </w:r>
          </w:p>
        </w:tc>
        <w:tc>
          <w:tcPr>
            <w:tcW w:type="dxa" w:w="2541"/>
            <w:tcMar>
              <w:top w:w="75" w:type="dxa"/>
              <w:start w:w="100" w:type="dxa"/>
              <w:bottom w:w="75" w:type="dxa"/>
              <w:end w:w="100" w:type="dxa"/>
            </w:tcMar>
          </w:tcPr>
          <w:p>
            <w:r>
              <w:t>11. Fire</w:t>
            </w:r>
          </w:p>
        </w:tc>
        <w:tc>
          <w:tcPr>
            <w:tcW w:type="dxa" w:w="2541"/>
            <w:tcMar>
              <w:top w:w="75" w:type="dxa"/>
              <w:start w:w="100" w:type="dxa"/>
              <w:bottom w:w="75" w:type="dxa"/>
              <w:end w:w="100" w:type="dxa"/>
            </w:tcMar>
          </w:tcPr>
          <w:p>
            <w:r>
              <w:t>How the attack affects civilians as well as fighters.</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12</w:t>
            </w:r>
          </w:p>
        </w:tc>
        <w:tc>
          <w:tcPr>
            <w:tcW w:type="dxa" w:w="2541"/>
            <w:tcMar>
              <w:top w:w="75" w:type="dxa"/>
              <w:start w:w="100" w:type="dxa"/>
              <w:bottom w:w="75" w:type="dxa"/>
              <w:end w:w="100" w:type="dxa"/>
            </w:tcMar>
          </w:tcPr>
          <w:p>
            <w:r>
              <w:t>12. Claws, Fangs and Shields</w:t>
            </w:r>
          </w:p>
        </w:tc>
        <w:tc>
          <w:tcPr>
            <w:tcW w:type="dxa" w:w="2541"/>
            <w:tcMar>
              <w:top w:w="75" w:type="dxa"/>
              <w:start w:w="100" w:type="dxa"/>
              <w:bottom w:w="75" w:type="dxa"/>
              <w:end w:w="100" w:type="dxa"/>
            </w:tcMar>
          </w:tcPr>
          <w:p>
            <w:r>
              <w:t>Why rest and restraint can be responsible choices.</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13</w:t>
            </w:r>
          </w:p>
        </w:tc>
        <w:tc>
          <w:tcPr>
            <w:tcW w:type="dxa" w:w="2541"/>
            <w:tcMar>
              <w:top w:w="75" w:type="dxa"/>
              <w:start w:w="100" w:type="dxa"/>
              <w:bottom w:w="75" w:type="dxa"/>
              <w:end w:w="100" w:type="dxa"/>
            </w:tcMar>
          </w:tcPr>
          <w:p>
            <w:r>
              <w:t>13. Exit Strategy</w:t>
            </w:r>
          </w:p>
        </w:tc>
        <w:tc>
          <w:tcPr>
            <w:tcW w:type="dxa" w:w="2541"/>
            <w:tcMar>
              <w:top w:w="75" w:type="dxa"/>
              <w:start w:w="100" w:type="dxa"/>
              <w:bottom w:w="75" w:type="dxa"/>
              <w:end w:w="100" w:type="dxa"/>
            </w:tcMar>
          </w:tcPr>
          <w:p>
            <w:r>
              <w:t>What the message from 2126 suggests - and what remains unknown.</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14</w:t>
            </w:r>
          </w:p>
        </w:tc>
        <w:tc>
          <w:tcPr>
            <w:tcW w:type="dxa" w:w="2541"/>
            <w:tcMar>
              <w:top w:w="75" w:type="dxa"/>
              <w:start w:w="100" w:type="dxa"/>
              <w:bottom w:w="75" w:type="dxa"/>
              <w:end w:w="100" w:type="dxa"/>
            </w:tcMar>
          </w:tcPr>
          <w:p>
            <w:r>
              <w:t>14. Diverging Priorities</w:t>
            </w:r>
          </w:p>
        </w:tc>
        <w:tc>
          <w:tcPr>
            <w:tcW w:type="dxa" w:w="2541"/>
            <w:tcMar>
              <w:top w:w="75" w:type="dxa"/>
              <w:start w:w="100" w:type="dxa"/>
              <w:bottom w:w="75" w:type="dxa"/>
              <w:end w:w="100" w:type="dxa"/>
            </w:tcMar>
          </w:tcPr>
          <w:p>
            <w:r>
              <w:t>The benefits and risks of separating the group.</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15</w:t>
            </w:r>
          </w:p>
        </w:tc>
        <w:tc>
          <w:tcPr>
            <w:tcW w:type="dxa" w:w="2541"/>
            <w:tcMar>
              <w:top w:w="75" w:type="dxa"/>
              <w:start w:w="100" w:type="dxa"/>
              <w:bottom w:w="75" w:type="dxa"/>
              <w:end w:w="100" w:type="dxa"/>
            </w:tcMar>
          </w:tcPr>
          <w:p>
            <w:r>
              <w:t>15. The Town of Stone and Smoke</w:t>
            </w:r>
          </w:p>
        </w:tc>
        <w:tc>
          <w:tcPr>
            <w:tcW w:type="dxa" w:w="2541"/>
            <w:tcMar>
              <w:top w:w="75" w:type="dxa"/>
              <w:start w:w="100" w:type="dxa"/>
              <w:bottom w:w="75" w:type="dxa"/>
              <w:end w:w="100" w:type="dxa"/>
            </w:tcMar>
          </w:tcPr>
          <w:p>
            <w:r>
              <w:t>How Jamie behaves differently from the beginning of the novel.</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16</w:t>
            </w:r>
          </w:p>
        </w:tc>
        <w:tc>
          <w:tcPr>
            <w:tcW w:type="dxa" w:w="2541"/>
            <w:tcMar>
              <w:top w:w="75" w:type="dxa"/>
              <w:start w:w="100" w:type="dxa"/>
              <w:bottom w:w="75" w:type="dxa"/>
              <w:end w:w="100" w:type="dxa"/>
            </w:tcMar>
          </w:tcPr>
          <w:p>
            <w:r>
              <w:t>16. Through the Broken Pass</w:t>
            </w:r>
          </w:p>
        </w:tc>
        <w:tc>
          <w:tcPr>
            <w:tcW w:type="dxa" w:w="2541"/>
            <w:tcMar>
              <w:top w:w="75" w:type="dxa"/>
              <w:start w:w="100" w:type="dxa"/>
              <w:bottom w:w="75" w:type="dxa"/>
              <w:end w:w="100" w:type="dxa"/>
            </w:tcMar>
          </w:tcPr>
          <w:p>
            <w:r>
              <w:t>The clues that danger may be planned or staged.</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17</w:t>
            </w:r>
          </w:p>
        </w:tc>
        <w:tc>
          <w:tcPr>
            <w:tcW w:type="dxa" w:w="2541"/>
            <w:tcMar>
              <w:top w:w="75" w:type="dxa"/>
              <w:start w:w="100" w:type="dxa"/>
              <w:bottom w:w="75" w:type="dxa"/>
              <w:end w:w="100" w:type="dxa"/>
            </w:tcMar>
          </w:tcPr>
          <w:p>
            <w:r>
              <w:t>17. The Champion of the Ravine</w:t>
            </w:r>
          </w:p>
        </w:tc>
        <w:tc>
          <w:tcPr>
            <w:tcW w:type="dxa" w:w="2541"/>
            <w:tcMar>
              <w:top w:w="75" w:type="dxa"/>
              <w:start w:w="100" w:type="dxa"/>
              <w:bottom w:w="75" w:type="dxa"/>
              <w:end w:w="100" w:type="dxa"/>
            </w:tcMar>
          </w:tcPr>
          <w:p>
            <w:r>
              <w:t>How endurance, protection and teamwork defeat raw power.</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18</w:t>
            </w:r>
          </w:p>
        </w:tc>
        <w:tc>
          <w:tcPr>
            <w:tcW w:type="dxa" w:w="2541"/>
            <w:tcMar>
              <w:top w:w="75" w:type="dxa"/>
              <w:start w:w="100" w:type="dxa"/>
              <w:bottom w:w="75" w:type="dxa"/>
              <w:end w:w="100" w:type="dxa"/>
            </w:tcMar>
          </w:tcPr>
          <w:p>
            <w:r>
              <w:t>18. Lines Converge</w:t>
            </w:r>
          </w:p>
        </w:tc>
        <w:tc>
          <w:tcPr>
            <w:tcW w:type="dxa" w:w="2541"/>
            <w:tcMar>
              <w:top w:w="75" w:type="dxa"/>
              <w:start w:w="100" w:type="dxa"/>
              <w:bottom w:w="75" w:type="dxa"/>
              <w:end w:w="100" w:type="dxa"/>
            </w:tcMar>
          </w:tcPr>
          <w:p>
            <w:r>
              <w:t>How different groups become allies through shared danger.</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19</w:t>
            </w:r>
          </w:p>
        </w:tc>
        <w:tc>
          <w:tcPr>
            <w:tcW w:type="dxa" w:w="2541"/>
            <w:tcMar>
              <w:top w:w="75" w:type="dxa"/>
              <w:start w:w="100" w:type="dxa"/>
              <w:bottom w:w="75" w:type="dxa"/>
              <w:end w:w="100" w:type="dxa"/>
            </w:tcMar>
          </w:tcPr>
          <w:p>
            <w:r>
              <w:t>19. After the Storm</w:t>
            </w:r>
          </w:p>
        </w:tc>
        <w:tc>
          <w:tcPr>
            <w:tcW w:type="dxa" w:w="2541"/>
            <w:tcMar>
              <w:top w:w="75" w:type="dxa"/>
              <w:start w:w="100" w:type="dxa"/>
              <w:bottom w:w="75" w:type="dxa"/>
              <w:end w:w="100" w:type="dxa"/>
            </w:tcMar>
          </w:tcPr>
          <w:p>
            <w:r>
              <w:t>Why caring for the wounded comes before continuing the chase.</w:t>
            </w:r>
          </w:p>
        </w:tc>
        <w:tc>
          <w:tcPr>
            <w:tcW w:type="dxa" w:w="2541"/>
            <w:tcMar>
              <w:top w:w="75" w:type="dxa"/>
              <w:start w:w="100" w:type="dxa"/>
              <w:bottom w:w="75" w:type="dxa"/>
              <w:end w:w="100" w:type="dxa"/>
            </w:tcMar>
          </w:tcPr>
          <w:p>
            <w:r>
              <w:t>[   ]</w:t>
            </w:r>
          </w:p>
        </w:tc>
      </w:tr>
      <w:tr>
        <w:tc>
          <w:tcPr>
            <w:tcW w:type="dxa" w:w="2541"/>
            <w:tcMar>
              <w:top w:w="75" w:type="dxa"/>
              <w:start w:w="100" w:type="dxa"/>
              <w:bottom w:w="75" w:type="dxa"/>
              <w:end w:w="100" w:type="dxa"/>
            </w:tcMar>
            <w:shd w:fill="F3F5F7"/>
          </w:tcPr>
          <w:p>
            <w:r>
              <w:t>20</w:t>
            </w:r>
          </w:p>
        </w:tc>
        <w:tc>
          <w:tcPr>
            <w:tcW w:type="dxa" w:w="2541"/>
            <w:tcMar>
              <w:top w:w="75" w:type="dxa"/>
              <w:start w:w="100" w:type="dxa"/>
              <w:bottom w:w="75" w:type="dxa"/>
              <w:end w:w="100" w:type="dxa"/>
            </w:tcMar>
          </w:tcPr>
          <w:p>
            <w:r>
              <w:t>20. Between Worlds</w:t>
            </w:r>
          </w:p>
        </w:tc>
        <w:tc>
          <w:tcPr>
            <w:tcW w:type="dxa" w:w="2541"/>
            <w:tcMar>
              <w:top w:w="75" w:type="dxa"/>
              <w:start w:w="100" w:type="dxa"/>
              <w:bottom w:w="75" w:type="dxa"/>
              <w:end w:w="100" w:type="dxa"/>
            </w:tcMar>
          </w:tcPr>
          <w:p>
            <w:r>
              <w:t>How the real-world scenes explain the trio's desire to return.</w:t>
            </w:r>
          </w:p>
        </w:tc>
        <w:tc>
          <w:tcPr>
            <w:tcW w:type="dxa" w:w="2541"/>
            <w:tcMar>
              <w:top w:w="75" w:type="dxa"/>
              <w:start w:w="100" w:type="dxa"/>
              <w:bottom w:w="75" w:type="dxa"/>
              <w:end w:w="100" w:type="dxa"/>
            </w:tcMar>
          </w:tcPr>
          <w:p>
            <w:r>
              <w:t>[   ]</w:t>
            </w:r>
          </w:p>
        </w:tc>
      </w:tr>
    </w:tbl>
    <w:p>
      <w:pPr>
        <w:pStyle w:val="Heading1"/>
      </w:pPr>
      <w:r>
        <w:t>5. Independent-reader weekly record</w:t>
      </w:r>
    </w:p>
    <w:p>
      <w:r>
        <w:t>Readers may use this table to set their own pace. A small, realistic target is usually more useful than a demanding target that becomes discouraging.</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shd w:fill="0E223C"/>
            <w:tcMar>
              <w:top w:w="90" w:type="dxa"/>
              <w:start w:w="120" w:type="dxa"/>
              <w:bottom w:w="90" w:type="dxa"/>
              <w:end w:w="120" w:type="dxa"/>
            </w:tcMar>
          </w:tcPr>
          <w:p>
            <w:r>
              <w:rPr>
                <w:b/>
                <w:color w:val="FFFFFF"/>
              </w:rPr>
              <w:t>Week</w:t>
            </w:r>
          </w:p>
        </w:tc>
        <w:tc>
          <w:tcPr>
            <w:tcW w:type="dxa" w:w="2033"/>
            <w:shd w:fill="0E223C"/>
            <w:tcMar>
              <w:top w:w="90" w:type="dxa"/>
              <w:start w:w="120" w:type="dxa"/>
              <w:bottom w:w="90" w:type="dxa"/>
              <w:end w:w="120" w:type="dxa"/>
            </w:tcMar>
          </w:tcPr>
          <w:p>
            <w:r>
              <w:rPr>
                <w:b/>
                <w:color w:val="FFFFFF"/>
              </w:rPr>
              <w:t>Planned chapters</w:t>
            </w:r>
          </w:p>
        </w:tc>
        <w:tc>
          <w:tcPr>
            <w:tcW w:type="dxa" w:w="2033"/>
            <w:shd w:fill="0E223C"/>
            <w:tcMar>
              <w:top w:w="90" w:type="dxa"/>
              <w:start w:w="120" w:type="dxa"/>
              <w:bottom w:w="90" w:type="dxa"/>
              <w:end w:w="120" w:type="dxa"/>
            </w:tcMar>
          </w:tcPr>
          <w:p>
            <w:r>
              <w:rPr>
                <w:b/>
                <w:color w:val="FFFFFF"/>
              </w:rPr>
              <w:t>Chapters completed</w:t>
            </w:r>
          </w:p>
        </w:tc>
        <w:tc>
          <w:tcPr>
            <w:tcW w:type="dxa" w:w="2033"/>
            <w:shd w:fill="0E223C"/>
            <w:tcMar>
              <w:top w:w="90" w:type="dxa"/>
              <w:start w:w="120" w:type="dxa"/>
              <w:bottom w:w="90" w:type="dxa"/>
              <w:end w:w="120" w:type="dxa"/>
            </w:tcMar>
          </w:tcPr>
          <w:p>
            <w:r>
              <w:rPr>
                <w:b/>
                <w:color w:val="FFFFFF"/>
              </w:rPr>
              <w:t>Favourite moment</w:t>
            </w:r>
          </w:p>
        </w:tc>
        <w:tc>
          <w:tcPr>
            <w:tcW w:type="dxa" w:w="2033"/>
            <w:shd w:fill="0E223C"/>
            <w:tcMar>
              <w:top w:w="90" w:type="dxa"/>
              <w:start w:w="120" w:type="dxa"/>
              <w:bottom w:w="90" w:type="dxa"/>
              <w:end w:w="120" w:type="dxa"/>
            </w:tcMar>
          </w:tcPr>
          <w:p>
            <w:r>
              <w:rPr>
                <w:b/>
                <w:color w:val="FFFFFF"/>
              </w:rPr>
              <w:t>Next target</w:t>
            </w:r>
          </w:p>
        </w:tc>
      </w:tr>
      <w:tr>
        <w:tc>
          <w:tcPr>
            <w:tcW w:type="dxa" w:w="2033"/>
            <w:shd w:fill="F3F5F7"/>
            <w:tcMar>
              <w:top w:w="90" w:type="dxa"/>
              <w:start w:w="120" w:type="dxa"/>
              <w:bottom w:w="90" w:type="dxa"/>
              <w:end w:w="120" w:type="dxa"/>
            </w:tcMar>
          </w:tcPr>
          <w:p>
            <w:r>
              <w:t>1</w:t>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r>
      <w:tr>
        <w:tc>
          <w:tcPr>
            <w:tcW w:type="dxa" w:w="2033"/>
            <w:shd w:fill="F3F5F7"/>
            <w:tcMar>
              <w:top w:w="90" w:type="dxa"/>
              <w:start w:w="120" w:type="dxa"/>
              <w:bottom w:w="90" w:type="dxa"/>
              <w:end w:w="120" w:type="dxa"/>
            </w:tcMar>
          </w:tcPr>
          <w:p>
            <w:r>
              <w:t>2</w:t>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r>
      <w:tr>
        <w:tc>
          <w:tcPr>
            <w:tcW w:type="dxa" w:w="2033"/>
            <w:shd w:fill="F3F5F7"/>
            <w:tcMar>
              <w:top w:w="90" w:type="dxa"/>
              <w:start w:w="120" w:type="dxa"/>
              <w:bottom w:w="90" w:type="dxa"/>
              <w:end w:w="120" w:type="dxa"/>
            </w:tcMar>
          </w:tcPr>
          <w:p>
            <w:r>
              <w:t>3</w:t>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r>
      <w:tr>
        <w:tc>
          <w:tcPr>
            <w:tcW w:type="dxa" w:w="2033"/>
            <w:shd w:fill="F3F5F7"/>
            <w:tcMar>
              <w:top w:w="90" w:type="dxa"/>
              <w:start w:w="120" w:type="dxa"/>
              <w:bottom w:w="90" w:type="dxa"/>
              <w:end w:w="120" w:type="dxa"/>
            </w:tcMar>
          </w:tcPr>
          <w:p>
            <w:r>
              <w:t>4</w:t>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r>
      <w:tr>
        <w:tc>
          <w:tcPr>
            <w:tcW w:type="dxa" w:w="2033"/>
            <w:shd w:fill="F3F5F7"/>
            <w:tcMar>
              <w:top w:w="90" w:type="dxa"/>
              <w:start w:w="120" w:type="dxa"/>
              <w:bottom w:w="90" w:type="dxa"/>
              <w:end w:w="120" w:type="dxa"/>
            </w:tcMar>
          </w:tcPr>
          <w:p>
            <w:r>
              <w:t>5</w:t>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r>
      <w:tr>
        <w:tc>
          <w:tcPr>
            <w:tcW w:type="dxa" w:w="2033"/>
            <w:shd w:fill="F3F5F7"/>
            <w:tcMar>
              <w:top w:w="90" w:type="dxa"/>
              <w:start w:w="120" w:type="dxa"/>
              <w:bottom w:w="90" w:type="dxa"/>
              <w:end w:w="120" w:type="dxa"/>
            </w:tcMar>
          </w:tcPr>
          <w:p>
            <w:r>
              <w:t>6</w:t>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c>
          <w:tcPr>
            <w:tcW w:type="dxa" w:w="2033"/>
            <w:tcMar>
              <w:top w:w="90" w:type="dxa"/>
              <w:start w:w="120" w:type="dxa"/>
              <w:bottom w:w="90" w:type="dxa"/>
              <w:end w:w="120" w:type="dxa"/>
            </w:tcMar>
          </w:tcPr>
          <w:p>
            <w:r>
              <w:br/>
              <w:br/>
            </w:r>
          </w:p>
        </w:tc>
      </w:tr>
    </w:tbl>
    <w:p>
      <w:pPr>
        <w:pStyle w:val="Heading1"/>
      </w:pPr>
      <w:r>
        <w:t>6. Supportive pacing tips</w:t>
      </w:r>
    </w:p>
    <w:p>
      <w:pPr>
        <w:pStyle w:val="ListBullet"/>
        <w:spacing w:after="50"/>
      </w:pPr>
      <w:r>
        <w:t>End a session at a point of curiosity rather than insisting on a fixed number of pages.</w:t>
      </w:r>
    </w:p>
    <w:p>
      <w:pPr>
        <w:pStyle w:val="ListBullet"/>
        <w:spacing w:after="50"/>
      </w:pPr>
      <w:r>
        <w:t>Use the map, character names and chapter titles as memory prompts before restarting.</w:t>
      </w:r>
    </w:p>
    <w:p>
      <w:pPr>
        <w:pStyle w:val="ListBullet"/>
        <w:spacing w:after="50"/>
      </w:pPr>
      <w:r>
        <w:t>Allow oral answers, paired discussion or drawing instead of written work every time.</w:t>
      </w:r>
    </w:p>
    <w:p>
      <w:pPr>
        <w:pStyle w:val="ListBullet"/>
        <w:spacing w:after="50"/>
      </w:pPr>
      <w:r>
        <w:t>Celebrate completed chapters and predictions; avoid presenting unfinished pages as failure.</w:t>
      </w:r>
    </w:p>
    <w:p>
      <w:pPr>
        <w:pStyle w:val="ListBullet"/>
        <w:spacing w:after="50"/>
      </w:pPr>
      <w:r>
        <w:t>For reluctant readers, keep written tasks short and use the separate progress chart as a visible record of success.</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6"/>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76" w:lineRule="auto"/>
    </w:pPr>
    <w:rPr>
      <w:rFonts w:ascii="Aptos" w:hAnsi="Aptos"/>
      <w:color w:val="0E223C"/>
      <w:sz w:val="23"/>
    </w:r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10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