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Content and Themes Guide</w:t>
      </w:r>
    </w:p>
    <w:p>
      <w:pPr>
        <w:pStyle w:val="Subtitle"/>
        <w:jc w:val="center"/>
      </w:pPr>
      <w:r>
        <w:t>Spoiler-aware guidance for adults supporting readers aged 9-14</w:t>
      </w:r>
    </w:p>
    <w:p>
      <w:pPr>
        <w:pBdr>
          <w:bottom w:val="single" w:sz="18" w:space="1" w:color="0090AE"/>
        </w:pBdr>
      </w:pP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965960" cy="294894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over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965960" cy="29489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mallNote"/>
        <w:jc w:val="center"/>
      </w:pPr>
      <w:r>
        <w:t>Jamie Cooper and the Touchscreen Portal | The Gateway Saga - Book One | J P Harper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10166"/>
            <w:shd w:fill="EAF5F8"/>
            <w:tcMar>
              <w:top w:w="140" w:type="dxa"/>
              <w:start w:w="170" w:type="dxa"/>
              <w:bottom w:w="140" w:type="dxa"/>
              <w:end w:w="170" w:type="dxa"/>
            </w:tcMar>
          </w:tcPr>
          <w:p>
            <w:pPr>
              <w:spacing w:after="60"/>
            </w:pPr>
            <w:r>
              <w:rPr>
                <w:b/>
                <w:color w:val="0E223C"/>
                <w:sz w:val="22"/>
              </w:rPr>
              <w:t>Purpose</w:t>
            </w:r>
          </w:p>
          <w:p>
            <w:pPr>
              <w:spacing w:after="0"/>
            </w:pPr>
            <w:r>
              <w:t>This guide helps adults make an informed suitability decision and prepare sensitive readers. It is descriptive rather than prescriptive; individual readers vary widely.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</w:pPr>
      <w:r>
        <w:t>1. Overall tone</w:t>
      </w:r>
    </w:p>
    <w:p>
      <w:r>
        <w:t>The novel combines an emotionally grounded real-world story with an increasingly large fantasy adventure. The opening is quiet and reflective, focusing on Jamie's move, his missing brother and a strained relationship with his father. Suspense grows through unexplained tablet messages before the story expands into magical discovery, friendship, battles and a continuing series mystery.</w:t>
      </w:r>
    </w:p>
    <w:p>
      <w:pPr>
        <w:pStyle w:val="Heading1"/>
      </w:pPr>
      <w:r>
        <w:t>2. Main themes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83"/>
        <w:gridCol w:w="5083"/>
      </w:tblGrid>
      <w:tr>
        <w:trPr>
          <w:tblHeader w:val="true"/>
        </w:trPr>
        <w:tc>
          <w:tcPr>
            <w:tcW w:type="dxa" w:w="5083"/>
            <w:shd w:fill="0E223C"/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r>
              <w:rPr>
                <w:b/>
                <w:color w:val="FFFFFF"/>
              </w:rPr>
              <w:t>Item</w:t>
            </w:r>
          </w:p>
        </w:tc>
        <w:tc>
          <w:tcPr>
            <w:tcW w:type="dxa" w:w="5083"/>
            <w:shd w:fill="0E223C"/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r>
              <w:rPr>
                <w:b/>
                <w:color w:val="FFFFFF"/>
              </w:rPr>
              <w:t>Details</w:t>
            </w:r>
          </w:p>
        </w:tc>
      </w:tr>
      <w:tr>
        <w:tc>
          <w:tcPr>
            <w:tcW w:type="dxa" w:w="5083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F3F5F7"/>
          </w:tcPr>
          <w:p>
            <w:r>
              <w:t>Grief and ambiguous loss</w:t>
            </w:r>
          </w:p>
        </w:tc>
        <w:tc>
          <w:tcPr>
            <w:tcW w:type="dxa" w:w="5083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</w:tcPr>
          <w:p>
            <w:r>
              <w:t>Jamie and his father are living with Cameron's unexplained disappearance. The absence shapes their move, silences and difficulty communicating. The story does not resolve Cameron's fate in Book One.</w:t>
            </w:r>
          </w:p>
        </w:tc>
      </w:tr>
      <w:tr>
        <w:tc>
          <w:tcPr>
            <w:tcW w:type="dxa" w:w="5083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F3F5F7"/>
          </w:tcPr>
          <w:p>
            <w:r>
              <w:t>Belonging and starting again</w:t>
            </w:r>
          </w:p>
        </w:tc>
        <w:tc>
          <w:tcPr>
            <w:tcW w:type="dxa" w:w="5083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</w:tcPr>
          <w:p>
            <w:r>
              <w:t>Jamie arrives in a new home and school feeling displaced. Dan and Lakshmi also experience forms of invisibility or misjudgement. Myridiam becomes a place where the trio can recognise their value.</w:t>
            </w:r>
          </w:p>
        </w:tc>
      </w:tr>
      <w:tr>
        <w:tc>
          <w:tcPr>
            <w:tcW w:type="dxa" w:w="5083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F3F5F7"/>
          </w:tcPr>
          <w:p>
            <w:r>
              <w:t>Friendship and found family</w:t>
            </w:r>
          </w:p>
        </w:tc>
        <w:tc>
          <w:tcPr>
            <w:tcW w:type="dxa" w:w="5083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</w:tcPr>
          <w:p>
            <w:r>
              <w:t>Trust develops through small actions, shared secrets, protection and collaborative choices rather than instant closeness.</w:t>
            </w:r>
          </w:p>
        </w:tc>
      </w:tr>
      <w:tr>
        <w:tc>
          <w:tcPr>
            <w:tcW w:type="dxa" w:w="5083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F3F5F7"/>
          </w:tcPr>
          <w:p>
            <w:r>
              <w:t>First impressions and prejudice</w:t>
            </w:r>
          </w:p>
        </w:tc>
        <w:tc>
          <w:tcPr>
            <w:tcW w:type="dxa" w:w="5083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</w:tcPr>
          <w:p>
            <w:r>
              <w:t>Dan is judged by pupils, teachers and circumstances before Jamie knows him. Cultural mistrust also affects encounters between the peoples of Myridiam.</w:t>
            </w:r>
          </w:p>
        </w:tc>
      </w:tr>
      <w:tr>
        <w:tc>
          <w:tcPr>
            <w:tcW w:type="dxa" w:w="5083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F3F5F7"/>
          </w:tcPr>
          <w:p>
            <w:r>
              <w:t>Courage and responsibility</w:t>
            </w:r>
          </w:p>
        </w:tc>
        <w:tc>
          <w:tcPr>
            <w:tcW w:type="dxa" w:w="5083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</w:tcPr>
          <w:p>
            <w:r>
              <w:t>Characters repeatedly decide whether to act despite fear. The book allows discussion of bravery, recklessness, duty, consequences and care for others.</w:t>
            </w:r>
          </w:p>
        </w:tc>
      </w:tr>
      <w:tr>
        <w:tc>
          <w:tcPr>
            <w:tcW w:type="dxa" w:w="5083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F3F5F7"/>
          </w:tcPr>
          <w:p>
            <w:r>
              <w:t>Identity and recognition</w:t>
            </w:r>
          </w:p>
        </w:tc>
        <w:tc>
          <w:tcPr>
            <w:tcW w:type="dxa" w:w="5083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</w:tcPr>
          <w:p>
            <w:r>
              <w:t>The roles Guardian and Protector reflect qualities already present in Dan and Lakshmi. Myridiam gives all three children forms of recognition they do not consistently receive at home.</w:t>
            </w:r>
          </w:p>
        </w:tc>
      </w:tr>
      <w:tr>
        <w:tc>
          <w:tcPr>
            <w:tcW w:type="dxa" w:w="5083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F3F5F7"/>
          </w:tcPr>
          <w:p>
            <w:r>
              <w:t>Technology, games and reality</w:t>
            </w:r>
          </w:p>
        </w:tc>
        <w:tc>
          <w:tcPr>
            <w:tcW w:type="dxa" w:w="5083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</w:tcPr>
          <w:p>
            <w:r>
              <w:t>The Gateway resembles a game system, but the people and consequences of Myridiam resist being treated as unreal. The story raises questions about how moral responsibility changes when a digital environment can suffer.</w:t>
            </w:r>
          </w:p>
        </w:tc>
      </w:tr>
      <w:tr>
        <w:tc>
          <w:tcPr>
            <w:tcW w:type="dxa" w:w="5083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F3F5F7"/>
          </w:tcPr>
          <w:p>
            <w:r>
              <w:t>Power and teamwork</w:t>
            </w:r>
          </w:p>
        </w:tc>
        <w:tc>
          <w:tcPr>
            <w:tcW w:type="dxa" w:w="5083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</w:tcPr>
          <w:p>
            <w:r>
              <w:t>Magical abilities matter, but strategy, empathy, observation, restraint and trust are equally important. Success depends on complementary strengths.</w:t>
            </w:r>
          </w:p>
        </w:tc>
      </w:tr>
    </w:tbl>
    <w:p>
      <w:pPr>
        <w:pStyle w:val="Heading1"/>
      </w:pPr>
      <w:r>
        <w:t>3. Content notes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83"/>
        <w:gridCol w:w="5083"/>
      </w:tblGrid>
      <w:tr>
        <w:trPr>
          <w:tblHeader w:val="true"/>
        </w:trPr>
        <w:tc>
          <w:tcPr>
            <w:tcW w:type="dxa" w:w="5083"/>
            <w:shd w:fill="0E223C"/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r>
              <w:rPr>
                <w:b/>
                <w:color w:val="FFFFFF"/>
              </w:rPr>
              <w:t>Item</w:t>
            </w:r>
          </w:p>
        </w:tc>
        <w:tc>
          <w:tcPr>
            <w:tcW w:type="dxa" w:w="5083"/>
            <w:shd w:fill="0E223C"/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r>
              <w:rPr>
                <w:b/>
                <w:color w:val="FFFFFF"/>
              </w:rPr>
              <w:t>Details</w:t>
            </w:r>
          </w:p>
        </w:tc>
      </w:tr>
      <w:tr>
        <w:tc>
          <w:tcPr>
            <w:tcW w:type="dxa" w:w="5083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F3F5F7"/>
          </w:tcPr>
          <w:p>
            <w:r>
              <w:t>Missing family member and grief</w:t>
            </w:r>
          </w:p>
        </w:tc>
        <w:tc>
          <w:tcPr>
            <w:tcW w:type="dxa" w:w="5083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</w:tcPr>
          <w:p>
            <w:r>
              <w:t>Frequent emotional references to Cameron, Jamie's missing older brother. Family members do not know whether he is alive.</w:t>
            </w:r>
          </w:p>
        </w:tc>
      </w:tr>
      <w:tr>
        <w:tc>
          <w:tcPr>
            <w:tcW w:type="dxa" w:w="5083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F3F5F7"/>
          </w:tcPr>
          <w:p>
            <w:r>
              <w:t>Family tension</w:t>
            </w:r>
          </w:p>
        </w:tc>
        <w:tc>
          <w:tcPr>
            <w:tcW w:type="dxa" w:w="5083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</w:tcPr>
          <w:p>
            <w:r>
              <w:t>Jamie and his father struggle to speak openly. Financial pressure and emotional exhaustion are present.</w:t>
            </w:r>
          </w:p>
        </w:tc>
      </w:tr>
      <w:tr>
        <w:tc>
          <w:tcPr>
            <w:tcW w:type="dxa" w:w="5083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F3F5F7"/>
          </w:tcPr>
          <w:p>
            <w:r>
              <w:t>Bullying and intimidation</w:t>
            </w:r>
          </w:p>
        </w:tc>
        <w:tc>
          <w:tcPr>
            <w:tcW w:type="dxa" w:w="5083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</w:tcPr>
          <w:p>
            <w:r>
              <w:t>Jamie is cornered and shoved by older pupils. Dan is mocked, isolated and treated unfairly by some pupils and a teacher.</w:t>
            </w:r>
          </w:p>
        </w:tc>
      </w:tr>
      <w:tr>
        <w:tc>
          <w:tcPr>
            <w:tcW w:type="dxa" w:w="5083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F3F5F7"/>
          </w:tcPr>
          <w:p>
            <w:r>
              <w:t>Difficult home environment</w:t>
            </w:r>
          </w:p>
        </w:tc>
        <w:tc>
          <w:tcPr>
            <w:tcW w:type="dxa" w:w="5083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</w:tcPr>
          <w:p>
            <w:r>
              <w:t>Dan's father is shown intoxicated and verbally belittling. Earlier bruises and Dan's guarded behaviour suggest a troubled home life, although explicit physical abuse is not depicted in the supplied manuscript.</w:t>
            </w:r>
          </w:p>
        </w:tc>
      </w:tr>
      <w:tr>
        <w:tc>
          <w:tcPr>
            <w:tcW w:type="dxa" w:w="5083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F3F5F7"/>
          </w:tcPr>
          <w:p>
            <w:r>
              <w:t>Fantasy peril and violence</w:t>
            </w:r>
          </w:p>
        </w:tc>
        <w:tc>
          <w:tcPr>
            <w:tcW w:type="dxa" w:w="5083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</w:tcPr>
          <w:p>
            <w:r>
              <w:t>Monster attacks, weapon use, battles, pursuit and threats to children and civilians. Injuries and blood are mentioned, but descriptions are not graphic.</w:t>
            </w:r>
          </w:p>
        </w:tc>
      </w:tr>
      <w:tr>
        <w:tc>
          <w:tcPr>
            <w:tcW w:type="dxa" w:w="5083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F3F5F7"/>
          </w:tcPr>
          <w:p>
            <w:r>
              <w:t>Fire and destruction</w:t>
            </w:r>
          </w:p>
        </w:tc>
        <w:tc>
          <w:tcPr>
            <w:tcW w:type="dxa" w:w="5083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</w:tcPr>
          <w:p>
            <w:r>
              <w:t>Homes and settlements are attacked and burned. Characters assist wounded people and displaced families.</w:t>
            </w:r>
          </w:p>
        </w:tc>
      </w:tr>
      <w:tr>
        <w:tc>
          <w:tcPr>
            <w:tcW w:type="dxa" w:w="5083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F3F5F7"/>
          </w:tcPr>
          <w:p>
            <w:r>
              <w:t>Abduction and imprisonment</w:t>
            </w:r>
          </w:p>
        </w:tc>
        <w:tc>
          <w:tcPr>
            <w:tcW w:type="dxa" w:w="5083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</w:tcPr>
          <w:p>
            <w:r>
              <w:t>An elderly Khitari cleric is captured and transported by enemy forces.</w:t>
            </w:r>
          </w:p>
        </w:tc>
      </w:tr>
      <w:tr>
        <w:tc>
          <w:tcPr>
            <w:tcW w:type="dxa" w:w="5083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F3F5F7"/>
          </w:tcPr>
          <w:p>
            <w:r>
              <w:t>War themes</w:t>
            </w:r>
          </w:p>
        </w:tc>
        <w:tc>
          <w:tcPr>
            <w:tcW w:type="dxa" w:w="5083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</w:tcPr>
          <w:p>
            <w:r>
              <w:t>Raids develop into the possibility of wider conflict between peoples. The story includes military pursuit, alliances and tactical decisions.</w:t>
            </w:r>
          </w:p>
        </w:tc>
      </w:tr>
      <w:tr>
        <w:tc>
          <w:tcPr>
            <w:tcW w:type="dxa" w:w="5083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F3F5F7"/>
          </w:tcPr>
          <w:p>
            <w:r>
              <w:t>Cliffhanger and unresolved threat</w:t>
            </w:r>
          </w:p>
        </w:tc>
        <w:tc>
          <w:tcPr>
            <w:tcW w:type="dxa" w:w="5083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</w:tcPr>
          <w:p>
            <w:r>
              <w:t>The stolen Heart Stone remains missing, Cameron has not been found, 2126 remains unexplained and the story ends with the next journey delayed.</w:t>
            </w:r>
          </w:p>
        </w:tc>
      </w:tr>
      <w:tr>
        <w:tc>
          <w:tcPr>
            <w:tcW w:type="dxa" w:w="5083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F3F5F7"/>
          </w:tcPr>
          <w:p>
            <w:r>
              <w:t>Language, sex and romance</w:t>
            </w:r>
          </w:p>
        </w:tc>
        <w:tc>
          <w:tcPr>
            <w:tcW w:type="dxa" w:w="5083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</w:tcPr>
          <w:p>
            <w:r>
              <w:t>No sexual content. Romance is not a focus. Strong language is not a notable feature.</w:t>
            </w:r>
          </w:p>
        </w:tc>
      </w:tr>
    </w:tbl>
    <w:p>
      <w:pPr>
        <w:pStyle w:val="Heading1"/>
      </w:pPr>
      <w:r>
        <w:t>4. Discussion approaches for sensitive themes</w:t>
      </w:r>
    </w:p>
    <w:p>
      <w:r>
        <w:rPr>
          <w:b/>
          <w:color w:val="0090AE"/>
        </w:rPr>
        <w:t xml:space="preserve">Grief: </w:t>
      </w:r>
      <w:r>
        <w:t>Allow readers to speak in general terms rather than disclose personal experiences. Use questions about how silence affects Jamie and his father, and what supportive communication might look like.</w:t>
      </w:r>
    </w:p>
    <w:p>
      <w:r>
        <w:rPr>
          <w:b/>
          <w:color w:val="0090AE"/>
        </w:rPr>
        <w:t xml:space="preserve">Bullying: </w:t>
      </w:r>
      <w:r>
        <w:t>Focus on power, bystander choices, safe help-seeking and Dan's controlled intervention. Avoid suggesting that a child should physically confront bullies.</w:t>
      </w:r>
    </w:p>
    <w:p>
      <w:r>
        <w:rPr>
          <w:b/>
          <w:color w:val="0090AE"/>
        </w:rPr>
        <w:t xml:space="preserve">Dan's home life: </w:t>
      </w:r>
      <w:r>
        <w:t>Discuss how harmful words can affect identity and why trusted adults and safeguarding systems matter. Do not require readers to compare the scene with their own home.</w:t>
      </w:r>
    </w:p>
    <w:p>
      <w:r>
        <w:rPr>
          <w:b/>
          <w:color w:val="0090AE"/>
        </w:rPr>
        <w:t xml:space="preserve">Violence and war: </w:t>
      </w:r>
      <w:r>
        <w:t>Distinguish exciting action from consequences. The aftermath chapters are useful for discussing injury, displacement, care and the limits of victory.</w:t>
      </w:r>
    </w:p>
    <w:p>
      <w:r>
        <w:rPr>
          <w:b/>
          <w:color w:val="0090AE"/>
        </w:rPr>
        <w:t xml:space="preserve">Digital trust: </w:t>
      </w:r>
      <w:r>
        <w:t>Make clear that Jamie's choice is a fictional plot device, not a model for real online behaviour. Ask how unknown messages should be handled safely in real life.</w:t>
      </w:r>
    </w:p>
    <w:p>
      <w:pPr>
        <w:pStyle w:val="Heading1"/>
      </w:pPr>
      <w:r>
        <w:t>5. Positive and protective elements</w:t>
      </w:r>
    </w:p>
    <w:p>
      <w:pPr>
        <w:pStyle w:val="ListBullet"/>
        <w:spacing w:after="50"/>
      </w:pPr>
      <w:r>
        <w:t>Friendships grow through loyalty, listening, mutual respect and practical help.</w:t>
      </w:r>
    </w:p>
    <w:p>
      <w:pPr>
        <w:pStyle w:val="ListBullet"/>
        <w:spacing w:after="50"/>
      </w:pPr>
      <w:r>
        <w:t>Characters protect children, civilians and wounded companions.</w:t>
      </w:r>
    </w:p>
    <w:p>
      <w:pPr>
        <w:pStyle w:val="ListBullet"/>
        <w:spacing w:after="50"/>
      </w:pPr>
      <w:r>
        <w:t>Violence is not presented as the only form of courage; restraint, planning, care and persistence are valued.</w:t>
      </w:r>
    </w:p>
    <w:p>
      <w:pPr>
        <w:pStyle w:val="ListBullet"/>
        <w:spacing w:after="50"/>
      </w:pPr>
      <w:r>
        <w:t>The trio learn that their differences make the group stronger.</w:t>
      </w:r>
    </w:p>
    <w:p>
      <w:pPr>
        <w:pStyle w:val="ListBullet"/>
        <w:spacing w:after="50"/>
      </w:pPr>
      <w:r>
        <w:t>Adults and leaders in Myridiam can recognise, support and thank the young characters.</w:t>
      </w:r>
    </w:p>
    <w:p>
      <w:pPr>
        <w:pStyle w:val="ListBullet"/>
        <w:spacing w:after="50"/>
      </w:pPr>
      <w:r>
        <w:t>The story contains humour, wonder, companionship and hope alongside danger.</w:t>
      </w:r>
    </w:p>
    <w:p>
      <w:pPr>
        <w:pStyle w:val="Heading1"/>
      </w:pPr>
      <w:r>
        <w:t>6. Suitability considerations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83"/>
        <w:gridCol w:w="5083"/>
      </w:tblGrid>
      <w:tr>
        <w:trPr>
          <w:tblHeader w:val="true"/>
        </w:trPr>
        <w:tc>
          <w:tcPr>
            <w:tcW w:type="dxa" w:w="5083"/>
            <w:shd w:fill="0E223C"/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r>
              <w:rPr>
                <w:b/>
                <w:color w:val="FFFFFF"/>
              </w:rPr>
              <w:t>Item</w:t>
            </w:r>
          </w:p>
        </w:tc>
        <w:tc>
          <w:tcPr>
            <w:tcW w:type="dxa" w:w="5083"/>
            <w:shd w:fill="0E223C"/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r>
              <w:rPr>
                <w:b/>
                <w:color w:val="FFFFFF"/>
              </w:rPr>
              <w:t>Details</w:t>
            </w:r>
          </w:p>
        </w:tc>
      </w:tr>
      <w:tr>
        <w:tc>
          <w:tcPr>
            <w:tcW w:type="dxa" w:w="5083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F3F5F7"/>
          </w:tcPr>
          <w:p>
            <w:r>
              <w:t>Likely comfortable readers</w:t>
            </w:r>
          </w:p>
        </w:tc>
        <w:tc>
          <w:tcPr>
            <w:tcW w:type="dxa" w:w="5083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</w:tcPr>
          <w:p>
            <w:r>
              <w:t>Readers accustomed to middle-grade fantasy adventure, sustained peril and emotionally serious themes.</w:t>
            </w:r>
          </w:p>
        </w:tc>
      </w:tr>
      <w:tr>
        <w:tc>
          <w:tcPr>
            <w:tcW w:type="dxa" w:w="5083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F3F5F7"/>
          </w:tcPr>
          <w:p>
            <w:r>
              <w:t>May need preparation</w:t>
            </w:r>
          </w:p>
        </w:tc>
        <w:tc>
          <w:tcPr>
            <w:tcW w:type="dxa" w:w="5083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</w:tcPr>
          <w:p>
            <w:r>
              <w:t>Readers affected by missing-person stories, bereavement, bullying, parental alcohol misuse, burning homes, war or unresolved endings.</w:t>
            </w:r>
          </w:p>
        </w:tc>
      </w:tr>
      <w:tr>
        <w:tc>
          <w:tcPr>
            <w:tcW w:type="dxa" w:w="5083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F3F5F7"/>
          </w:tcPr>
          <w:p>
            <w:r>
              <w:t>Possible support</w:t>
            </w:r>
          </w:p>
        </w:tc>
        <w:tc>
          <w:tcPr>
            <w:tcW w:type="dxa" w:w="5083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</w:tcPr>
          <w:p>
            <w:r>
              <w:t>Advance notice, paired or shared reading, permission to pause, brief chapter summaries and access to a trusted adult for discussion.</w:t>
            </w:r>
          </w:p>
        </w:tc>
      </w:tr>
      <w:tr>
        <w:tc>
          <w:tcPr>
            <w:tcW w:type="dxa" w:w="5083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  <w:shd w:fill="F3F5F7"/>
          </w:tcPr>
          <w:p>
            <w:r>
              <w:t>Important limitation</w:t>
            </w:r>
          </w:p>
        </w:tc>
        <w:tc>
          <w:tcPr>
            <w:tcW w:type="dxa" w:w="5083"/>
            <w:tcMar>
              <w:top w:w="100" w:type="dxa"/>
              <w:start w:w="130" w:type="dxa"/>
              <w:bottom w:w="100" w:type="dxa"/>
              <w:end w:w="130" w:type="dxa"/>
            </w:tcMar>
            <w:vAlign w:val="center"/>
          </w:tcPr>
          <w:p>
            <w:r>
              <w:t>Age labels are only a guide. The best decision depends on the individual reader's experience, confidence and sensitivities.</w:t>
            </w:r>
          </w:p>
        </w:tc>
      </w:tr>
    </w:tbl>
    <w:p>
      <w:pPr>
        <w:pStyle w:val="Heading1"/>
      </w:pPr>
      <w:r>
        <w:t>7. Suggested adult questions</w:t>
      </w:r>
    </w:p>
    <w:p>
      <w:pPr>
        <w:pStyle w:val="ListBullet"/>
        <w:spacing w:after="50"/>
      </w:pPr>
      <w:r>
        <w:t>Is there any theme here that may connect too closely with the reader's current circumstances?</w:t>
      </w:r>
    </w:p>
    <w:p>
      <w:pPr>
        <w:pStyle w:val="ListBullet"/>
        <w:spacing w:after="50"/>
      </w:pPr>
      <w:r>
        <w:t>Would advance notice make a difficult scene manageable without spoiling the story?</w:t>
      </w:r>
    </w:p>
    <w:p>
      <w:pPr>
        <w:pStyle w:val="ListBullet"/>
        <w:spacing w:after="50"/>
      </w:pPr>
      <w:r>
        <w:t>Does the reader prefer to discuss emotional content, write privately or move on without extended discussion?</w:t>
      </w:r>
    </w:p>
    <w:p>
      <w:pPr>
        <w:pStyle w:val="ListBullet"/>
        <w:spacing w:after="50"/>
      </w:pPr>
      <w:r>
        <w:t>Which positive relationships and coping strategies can be highlighted after a difficult scene?</w:t>
      </w:r>
    </w:p>
    <w:p>
      <w:pPr>
        <w:pStyle w:val="ListBullet"/>
        <w:spacing w:after="50"/>
      </w:pPr>
      <w:r>
        <w:t>Is the unresolved ending likely to create productive curiosity or unwanted anxiety for this reader?</w:t>
      </w:r>
    </w:p>
    <w:p>
      <w:pPr>
        <w:pStyle w:val="Heading1"/>
      </w:pPr>
      <w:r>
        <w:t>8. Suggested content statement for a website or catalogue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66"/>
      </w:tblGrid>
      <w:tr>
        <w:tc>
          <w:tcPr>
            <w:tcW w:type="dxa" w:w="10166"/>
            <w:shd w:fill="FFF7DF"/>
            <w:tcMar>
              <w:top w:w="140" w:type="dxa"/>
              <w:start w:w="170" w:type="dxa"/>
              <w:bottom w:w="140" w:type="dxa"/>
              <w:end w:w="170" w:type="dxa"/>
            </w:tcMar>
          </w:tcPr>
          <w:p>
            <w:pPr>
              <w:spacing w:after="60"/>
            </w:pPr>
            <w:r>
              <w:rPr>
                <w:b/>
                <w:color w:val="0E223C"/>
                <w:sz w:val="22"/>
              </w:rPr>
              <w:t>Concise content note</w:t>
            </w:r>
          </w:p>
          <w:p>
            <w:pPr>
              <w:spacing w:after="0"/>
            </w:pPr>
            <w:r>
              <w:t>Contains themes of grief and a missing family member, school bullying, difficult family relationships, fantasy battles, injuries, abduction, burning settlements and threats of war. Violence is not graphic. No sexual content; romance is not a focus.</w:t>
            </w:r>
          </w:p>
        </w:tc>
      </w:tr>
    </w:tbl>
    <w:p>
      <w:pPr>
        <w:spacing w:after="0"/>
      </w:pPr>
    </w:p>
    <w:sectPr w:rsidR="00FC693F" w:rsidRPr="0006063C" w:rsidSect="00034616">
      <w:headerReference w:type="default" r:id="rId9"/>
      <w:footerReference w:type="default" r:id="rId10"/>
      <w:pgSz w:w="12240" w:h="15840"/>
      <w:pgMar w:top="936" w:right="1037" w:bottom="893" w:left="103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color w:val="55606E"/>
        <w:sz w:val="15"/>
      </w:rPr>
      <w:t>Jamie Cooper and the Touchscreen Portal | www.jpharper.com</w:t>
      <w:br/>
      <w:t>May be copied for non-commercial educational use.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ptos" w:hAnsi="Aptos"/>
        <w:color w:val="55606E"/>
        <w:sz w:val="16"/>
      </w:rPr>
      <w:t>J P Harper | Educator Resources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ptos" w:hAnsi="Apto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60" w:after="12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0E223C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80" w:after="80"/>
      <w:outlineLvl w:val="1"/>
    </w:pPr>
    <w:rPr>
      <w:rFonts w:asciiTheme="majorHAnsi" w:eastAsiaTheme="majorEastAsia" w:hAnsiTheme="majorHAnsi" w:cstheme="majorBidi" w:ascii="Aptos" w:hAnsi="Aptos"/>
      <w:b/>
      <w:bCs/>
      <w:color w:val="0090AE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40" w:after="60"/>
      <w:outlineLvl w:val="2"/>
    </w:pPr>
    <w:rPr>
      <w:rFonts w:asciiTheme="majorHAnsi" w:eastAsiaTheme="majorEastAsia" w:hAnsiTheme="majorHAnsi" w:cstheme="majorBidi" w:ascii="Aptos" w:hAnsi="Aptos"/>
      <w:b/>
      <w:bCs/>
      <w:color w:val="0E223C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40" w:line="240" w:lineRule="auto" w:before="0"/>
      <w:contextualSpacing/>
    </w:pPr>
    <w:rPr>
      <w:rFonts w:asciiTheme="majorHAnsi" w:eastAsiaTheme="majorEastAsia" w:hAnsiTheme="majorHAnsi" w:cstheme="majorBidi" w:ascii="Aptos Display" w:hAnsi="Aptos Display"/>
      <w:b/>
      <w:color w:val="0E223C"/>
      <w:spacing w:val="5"/>
      <w:kern w:val="28"/>
      <w:sz w:val="5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200"/>
    </w:pPr>
    <w:rPr>
      <w:rFonts w:asciiTheme="majorHAnsi" w:eastAsiaTheme="majorEastAsia" w:hAnsiTheme="majorHAnsi" w:cstheme="majorBidi" w:ascii="Aptos" w:hAnsi="Aptos"/>
      <w:b w:val="0"/>
      <w:i/>
      <w:iCs/>
      <w:color w:val="55606E"/>
      <w:spacing w:val="15"/>
      <w:sz w:val="23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ad">
    <w:name w:val="Lead"/>
    <w:pPr>
      <w:spacing w:after="160" w:line="276" w:lineRule="auto"/>
    </w:pPr>
    <w:rPr>
      <w:rFonts w:ascii="Aptos" w:hAnsi="Aptos"/>
      <w:color w:val="0E223C"/>
      <w:sz w:val="23"/>
    </w:rPr>
  </w:style>
  <w:style w:type="paragraph" w:customStyle="1" w:styleId="SmallNote">
    <w:name w:val="Small Note"/>
    <w:pPr>
      <w:spacing w:after="60"/>
    </w:pPr>
    <w:rPr>
      <w:rFonts w:ascii="Aptos" w:hAnsi="Aptos"/>
      <w:color w:val="55606E"/>
      <w:sz w:val="17"/>
    </w:rPr>
  </w:style>
  <w:style w:type="paragraph" w:customStyle="1" w:styleId="WorksheetPrompt">
    <w:name w:val="Worksheet Prompt"/>
    <w:pPr>
      <w:keepNext/>
      <w:spacing w:before="120" w:after="60"/>
    </w:pPr>
    <w:rPr>
      <w:rFonts w:ascii="Aptos" w:hAnsi="Aptos"/>
      <w:b/>
      <w:color w:val="0E223C"/>
      <w:sz w:val="21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